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CAE1D" w14:textId="77777777" w:rsidR="000E025C" w:rsidRDefault="005B3C9E" w:rsidP="001B6384">
      <w:pPr>
        <w:ind w:right="118"/>
      </w:pPr>
      <w:r>
        <w:rPr>
          <w:noProof/>
          <w:lang w:eastAsia="en-IE"/>
        </w:rPr>
        <w:drawing>
          <wp:anchor distT="0" distB="0" distL="114300" distR="114300" simplePos="0" relativeHeight="251661312" behindDoc="1" locked="0" layoutInCell="1" allowOverlap="1" wp14:anchorId="48B7CF63" wp14:editId="4E9BD338">
            <wp:simplePos x="0" y="0"/>
            <wp:positionH relativeFrom="column">
              <wp:posOffset>1450340</wp:posOffset>
            </wp:positionH>
            <wp:positionV relativeFrom="paragraph">
              <wp:posOffset>-48472</wp:posOffset>
            </wp:positionV>
            <wp:extent cx="2743200" cy="130231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302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0885F" w14:textId="77777777" w:rsidR="000E025C" w:rsidRDefault="000E025C" w:rsidP="001B6384">
      <w:pPr>
        <w:ind w:right="118"/>
      </w:pPr>
    </w:p>
    <w:p w14:paraId="04DC657A" w14:textId="77777777" w:rsidR="00C63BCE" w:rsidRDefault="00C63BCE" w:rsidP="003173C7">
      <w:pPr>
        <w:pStyle w:val="IPageHeading"/>
      </w:pPr>
    </w:p>
    <w:p w14:paraId="162DBF4E" w14:textId="77777777" w:rsidR="00C63BCE" w:rsidRPr="005B3C9E" w:rsidRDefault="00C63BCE" w:rsidP="005B3C9E">
      <w:pPr>
        <w:ind w:left="284" w:right="118"/>
        <w:rPr>
          <w:rFonts w:ascii="Mikro Black" w:hAnsi="Mikro Black"/>
          <w:noProof/>
          <w:color w:val="333F48"/>
          <w:sz w:val="60"/>
          <w:szCs w:val="60"/>
          <w:lang w:eastAsia="en-IE"/>
        </w:rPr>
      </w:pPr>
      <w:r w:rsidRPr="005B3C9E">
        <w:rPr>
          <w:rFonts w:ascii="Mikro Black" w:hAnsi="Mikro Black"/>
          <w:noProof/>
          <w:color w:val="333F48"/>
          <w:sz w:val="60"/>
          <w:szCs w:val="60"/>
          <w:lang w:eastAsia="en-IE"/>
        </w:rPr>
        <w:t xml:space="preserve">     iQ </w:t>
      </w:r>
      <w:r w:rsidR="00DA688C" w:rsidRPr="005B3C9E">
        <w:rPr>
          <w:rFonts w:ascii="Mikro Black" w:hAnsi="Mikro Black"/>
          <w:noProof/>
          <w:color w:val="333F48"/>
          <w:sz w:val="60"/>
          <w:szCs w:val="60"/>
          <w:lang w:eastAsia="en-IE"/>
        </w:rPr>
        <w:t xml:space="preserve">Change Request </w:t>
      </w:r>
      <w:r w:rsidRPr="005B3C9E">
        <w:rPr>
          <w:rFonts w:ascii="Mikro Black" w:hAnsi="Mikro Black"/>
          <w:noProof/>
          <w:color w:val="333F48"/>
          <w:sz w:val="60"/>
          <w:szCs w:val="60"/>
          <w:lang w:eastAsia="en-IE"/>
        </w:rPr>
        <w:t>Form</w:t>
      </w:r>
      <w:r w:rsidR="006A33B5" w:rsidRPr="005B3C9E">
        <w:rPr>
          <w:rFonts w:ascii="Mikro Black" w:hAnsi="Mikro Black"/>
          <w:noProof/>
          <w:color w:val="333F48"/>
          <w:sz w:val="60"/>
          <w:szCs w:val="60"/>
          <w:lang w:eastAsia="en-IE"/>
        </w:rPr>
        <w:t xml:space="preserve"> </w:t>
      </w:r>
    </w:p>
    <w:p w14:paraId="7410DFD6" w14:textId="77777777" w:rsidR="005B3C9E" w:rsidRDefault="005B3C9E" w:rsidP="003173C7">
      <w:pPr>
        <w:pStyle w:val="IPageHeading"/>
      </w:pPr>
    </w:p>
    <w:p w14:paraId="4668000A" w14:textId="77777777" w:rsidR="00EF3473" w:rsidRDefault="00536EA1" w:rsidP="003173C7">
      <w:pPr>
        <w:pStyle w:val="IPageHeading"/>
      </w:pPr>
      <w:r>
        <w:t xml:space="preserve">Change </w:t>
      </w:r>
      <w:r w:rsidR="00EF3473" w:rsidRPr="00EF3473">
        <w:t>Info</w:t>
      </w:r>
      <w:r w:rsidR="00963CF5">
        <w:t>rmation</w:t>
      </w:r>
    </w:p>
    <w:p w14:paraId="1ED65DAC" w14:textId="77777777" w:rsidR="002E1F0C" w:rsidRDefault="002E1F0C" w:rsidP="003E7442">
      <w:pPr>
        <w:pStyle w:val="FeatureText--2021"/>
        <w:jc w:val="center"/>
        <w:rPr>
          <w:rFonts w:cs="Calibri"/>
          <w:b/>
          <w:bCs/>
        </w:rPr>
      </w:pPr>
    </w:p>
    <w:p w14:paraId="20D44164" w14:textId="77777777" w:rsidR="002E1F0C" w:rsidRDefault="002E1F0C" w:rsidP="003E7442">
      <w:pPr>
        <w:pStyle w:val="FeatureText--2021"/>
        <w:jc w:val="center"/>
        <w:rPr>
          <w:rFonts w:cs="Calibri"/>
          <w:b/>
          <w:bCs/>
        </w:rPr>
      </w:pPr>
    </w:p>
    <w:p w14:paraId="09DD4BC2" w14:textId="77777777" w:rsidR="002E1F0C" w:rsidRDefault="002E1F0C" w:rsidP="003E7442">
      <w:pPr>
        <w:pStyle w:val="FeatureText--2021"/>
        <w:jc w:val="center"/>
        <w:rPr>
          <w:rFonts w:cs="Calibri"/>
          <w:b/>
          <w:bCs/>
        </w:rPr>
      </w:pPr>
    </w:p>
    <w:p w14:paraId="09B00E52" w14:textId="77777777" w:rsidR="002E1F0C" w:rsidRDefault="002E1F0C" w:rsidP="003E7442">
      <w:pPr>
        <w:pStyle w:val="FeatureText--2021"/>
        <w:jc w:val="center"/>
        <w:rPr>
          <w:rFonts w:cs="Calibri"/>
          <w:b/>
          <w:bCs/>
        </w:rPr>
      </w:pPr>
    </w:p>
    <w:p w14:paraId="42222626" w14:textId="77777777" w:rsidR="003E7442" w:rsidRDefault="003E7442" w:rsidP="003E7442">
      <w:pPr>
        <w:pStyle w:val="FeatureText--2021"/>
        <w:jc w:val="center"/>
        <w:rPr>
          <w:rFonts w:cs="Calibri"/>
          <w:b/>
          <w:bCs/>
        </w:rPr>
      </w:pPr>
      <w:r>
        <w:rPr>
          <w:rFonts w:cs="Calibri"/>
          <w:b/>
          <w:bCs/>
        </w:rPr>
        <w:t>Please replace all text in the right-hand column</w:t>
      </w:r>
      <w:r w:rsidR="00B4031A">
        <w:rPr>
          <w:rFonts w:cs="Calibri"/>
          <w:b/>
          <w:bCs/>
        </w:rPr>
        <w:t>s</w:t>
      </w:r>
      <w:r>
        <w:rPr>
          <w:rFonts w:cs="Calibri"/>
          <w:b/>
          <w:bCs/>
        </w:rPr>
        <w:t xml:space="preserve">. Otherwise your request will be </w:t>
      </w:r>
      <w:r>
        <w:rPr>
          <w:rFonts w:cs="Calibri"/>
          <w:b/>
          <w:bCs/>
        </w:rPr>
        <w:br/>
        <w:t>invalid and</w:t>
      </w:r>
      <w:r w:rsidR="006D4092">
        <w:rPr>
          <w:rFonts w:cs="Calibri"/>
          <w:b/>
          <w:bCs/>
        </w:rPr>
        <w:t xml:space="preserve"> it</w:t>
      </w:r>
      <w:r>
        <w:rPr>
          <w:rFonts w:cs="Calibri"/>
          <w:b/>
          <w:bCs/>
        </w:rPr>
        <w:t xml:space="preserve"> will be pushed back to you for additional information.</w:t>
      </w:r>
    </w:p>
    <w:p w14:paraId="331E48C9" w14:textId="77777777" w:rsidR="003E7442" w:rsidRPr="003E7442" w:rsidRDefault="003E7442" w:rsidP="003E7442">
      <w:pPr>
        <w:pStyle w:val="FeatureText--2021"/>
      </w:pP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236"/>
      </w:tblGrid>
      <w:tr w:rsidR="006E5912" w:rsidRPr="00A911DE" w14:paraId="44BA6633" w14:textId="77777777" w:rsidTr="00CA2125">
        <w:trPr>
          <w:trHeight w:val="609"/>
        </w:trPr>
        <w:tc>
          <w:tcPr>
            <w:tcW w:w="3970" w:type="dxa"/>
            <w:shd w:val="clear" w:color="000000" w:fill="FFD100"/>
            <w:vAlign w:val="center"/>
            <w:hideMark/>
          </w:tcPr>
          <w:p w14:paraId="2BDB1DB7" w14:textId="77777777" w:rsidR="006E5912" w:rsidRPr="00A911DE" w:rsidRDefault="006E5912" w:rsidP="001B6384">
            <w:pPr>
              <w:spacing w:after="0" w:line="240" w:lineRule="auto"/>
              <w:ind w:right="118"/>
              <w:rPr>
                <w:rFonts w:ascii="Calibri" w:hAnsi="Calibri" w:cs="Calibri"/>
                <w:b/>
                <w:bCs/>
              </w:rPr>
            </w:pPr>
            <w:r w:rsidRPr="00A911DE">
              <w:rPr>
                <w:rFonts w:ascii="Calibri" w:hAnsi="Calibri" w:cs="Calibri"/>
                <w:b/>
                <w:bCs/>
              </w:rPr>
              <w:t>Title</w:t>
            </w:r>
          </w:p>
        </w:tc>
        <w:tc>
          <w:tcPr>
            <w:tcW w:w="6236" w:type="dxa"/>
            <w:shd w:val="clear" w:color="auto" w:fill="auto"/>
            <w:hideMark/>
          </w:tcPr>
          <w:p w14:paraId="100FAF07" w14:textId="7EEF91CD" w:rsidR="006E5912" w:rsidRPr="00A911DE" w:rsidRDefault="00F47029" w:rsidP="001B6384">
            <w:pPr>
              <w:spacing w:after="0" w:line="240" w:lineRule="auto"/>
              <w:ind w:right="118"/>
              <w:rPr>
                <w:rFonts w:ascii="Calibri" w:hAnsi="Calibri" w:cs="Calibri"/>
                <w:b/>
                <w:bCs/>
              </w:rPr>
            </w:pPr>
            <w:r>
              <w:rPr>
                <w:rFonts w:ascii="Calibri" w:hAnsi="Calibri" w:cs="Calibri"/>
                <w:b/>
                <w:bCs/>
              </w:rPr>
              <w:t xml:space="preserve">Tile Products - Gaps in </w:t>
            </w:r>
            <w:r w:rsidR="00984F29">
              <w:rPr>
                <w:rFonts w:ascii="Calibri" w:hAnsi="Calibri" w:cs="Calibri"/>
                <w:b/>
                <w:bCs/>
              </w:rPr>
              <w:t>the handling of</w:t>
            </w:r>
            <w:r>
              <w:rPr>
                <w:rFonts w:ascii="Calibri" w:hAnsi="Calibri" w:cs="Calibri"/>
                <w:b/>
                <w:bCs/>
              </w:rPr>
              <w:t xml:space="preserve"> different tile units</w:t>
            </w:r>
          </w:p>
        </w:tc>
      </w:tr>
      <w:tr w:rsidR="006E5912" w:rsidRPr="00A911DE" w14:paraId="341BF69B" w14:textId="77777777" w:rsidTr="00CA2125">
        <w:trPr>
          <w:trHeight w:val="575"/>
        </w:trPr>
        <w:tc>
          <w:tcPr>
            <w:tcW w:w="3970" w:type="dxa"/>
            <w:shd w:val="clear" w:color="000000" w:fill="FFD100"/>
            <w:vAlign w:val="center"/>
            <w:hideMark/>
          </w:tcPr>
          <w:p w14:paraId="3DEF9762" w14:textId="77777777" w:rsidR="006E5912" w:rsidRPr="00A911DE" w:rsidRDefault="006E5912" w:rsidP="001B6384">
            <w:pPr>
              <w:spacing w:after="0" w:line="240" w:lineRule="auto"/>
              <w:ind w:right="118"/>
              <w:rPr>
                <w:rFonts w:ascii="Calibri" w:hAnsi="Calibri" w:cs="Calibri"/>
                <w:b/>
                <w:bCs/>
              </w:rPr>
            </w:pPr>
            <w:r w:rsidRPr="00A911DE">
              <w:rPr>
                <w:rFonts w:ascii="Calibri" w:hAnsi="Calibri" w:cs="Calibri"/>
                <w:b/>
                <w:bCs/>
              </w:rPr>
              <w:t>Date</w:t>
            </w:r>
          </w:p>
        </w:tc>
        <w:tc>
          <w:tcPr>
            <w:tcW w:w="6236" w:type="dxa"/>
            <w:shd w:val="clear" w:color="auto" w:fill="auto"/>
            <w:hideMark/>
          </w:tcPr>
          <w:p w14:paraId="2B8F50D0" w14:textId="52716B42" w:rsidR="006E5912" w:rsidRPr="00A911DE" w:rsidRDefault="008600A2" w:rsidP="001B6384">
            <w:pPr>
              <w:spacing w:after="0" w:line="240" w:lineRule="auto"/>
              <w:ind w:right="118"/>
              <w:rPr>
                <w:rFonts w:ascii="Calibri" w:hAnsi="Calibri" w:cs="Calibri"/>
                <w:b/>
                <w:bCs/>
              </w:rPr>
            </w:pPr>
            <w:r w:rsidRPr="008600A2">
              <w:rPr>
                <w:rFonts w:ascii="Calibri" w:hAnsi="Calibri" w:cs="Calibri"/>
                <w:b/>
                <w:bCs/>
              </w:rPr>
              <w:t>26/04/2022</w:t>
            </w:r>
          </w:p>
        </w:tc>
      </w:tr>
      <w:tr w:rsidR="006E5912" w:rsidRPr="00A911DE" w14:paraId="77D25B46" w14:textId="77777777" w:rsidTr="00264893">
        <w:trPr>
          <w:trHeight w:val="512"/>
        </w:trPr>
        <w:tc>
          <w:tcPr>
            <w:tcW w:w="3970" w:type="dxa"/>
            <w:shd w:val="clear" w:color="000000" w:fill="FFD100"/>
            <w:vAlign w:val="center"/>
            <w:hideMark/>
          </w:tcPr>
          <w:p w14:paraId="2FD0773E" w14:textId="77777777" w:rsidR="006E5912" w:rsidRPr="00A911DE" w:rsidRDefault="006E5912" w:rsidP="001B6384">
            <w:pPr>
              <w:spacing w:after="0" w:line="240" w:lineRule="auto"/>
              <w:ind w:right="118"/>
              <w:rPr>
                <w:rFonts w:ascii="Calibri" w:hAnsi="Calibri" w:cs="Calibri"/>
                <w:b/>
                <w:bCs/>
              </w:rPr>
            </w:pPr>
            <w:r w:rsidRPr="00A911DE">
              <w:rPr>
                <w:rFonts w:ascii="Calibri" w:hAnsi="Calibri" w:cs="Calibri"/>
                <w:b/>
                <w:bCs/>
              </w:rPr>
              <w:t>Customer Name</w:t>
            </w:r>
          </w:p>
        </w:tc>
        <w:tc>
          <w:tcPr>
            <w:tcW w:w="6236" w:type="dxa"/>
            <w:shd w:val="clear" w:color="auto" w:fill="auto"/>
            <w:hideMark/>
          </w:tcPr>
          <w:p w14:paraId="6B7B64AE" w14:textId="21742DFA" w:rsidR="00DE1529" w:rsidRPr="00A911DE" w:rsidRDefault="00DE1529" w:rsidP="001B6384">
            <w:pPr>
              <w:spacing w:after="0" w:line="240" w:lineRule="auto"/>
              <w:ind w:right="118"/>
              <w:rPr>
                <w:rFonts w:ascii="Calibri" w:hAnsi="Calibri" w:cs="Calibri"/>
                <w:b/>
                <w:bCs/>
              </w:rPr>
            </w:pPr>
            <w:r>
              <w:rPr>
                <w:rFonts w:ascii="Calibri" w:hAnsi="Calibri" w:cs="Calibri"/>
                <w:b/>
                <w:bCs/>
              </w:rPr>
              <w:t>All customers using Tile products</w:t>
            </w:r>
          </w:p>
        </w:tc>
      </w:tr>
      <w:tr w:rsidR="006E5912" w:rsidRPr="00A911DE" w14:paraId="1A709996" w14:textId="77777777" w:rsidTr="00DD7439">
        <w:trPr>
          <w:trHeight w:val="549"/>
        </w:trPr>
        <w:tc>
          <w:tcPr>
            <w:tcW w:w="3970" w:type="dxa"/>
            <w:shd w:val="clear" w:color="000000" w:fill="FFD100"/>
            <w:vAlign w:val="center"/>
            <w:hideMark/>
          </w:tcPr>
          <w:p w14:paraId="5C047434" w14:textId="77777777" w:rsidR="006E5912" w:rsidRPr="00A911DE" w:rsidRDefault="006E5912" w:rsidP="001B6384">
            <w:pPr>
              <w:spacing w:after="0" w:line="240" w:lineRule="auto"/>
              <w:ind w:right="118"/>
              <w:rPr>
                <w:rFonts w:ascii="Calibri" w:hAnsi="Calibri" w:cs="Calibri"/>
                <w:b/>
                <w:bCs/>
              </w:rPr>
            </w:pPr>
            <w:r w:rsidRPr="00A911DE">
              <w:rPr>
                <w:rFonts w:ascii="Calibri" w:hAnsi="Calibri" w:cs="Calibri"/>
                <w:b/>
                <w:bCs/>
              </w:rPr>
              <w:t>Contact Name</w:t>
            </w:r>
          </w:p>
        </w:tc>
        <w:tc>
          <w:tcPr>
            <w:tcW w:w="6236" w:type="dxa"/>
            <w:shd w:val="clear" w:color="auto" w:fill="auto"/>
          </w:tcPr>
          <w:p w14:paraId="31EADEC2" w14:textId="01CF0F2A" w:rsidR="006E5912" w:rsidRPr="00A911DE" w:rsidRDefault="006E5912" w:rsidP="001B6384">
            <w:pPr>
              <w:spacing w:after="0" w:line="240" w:lineRule="auto"/>
              <w:ind w:right="118"/>
              <w:rPr>
                <w:rFonts w:ascii="Calibri" w:hAnsi="Calibri" w:cs="Calibri"/>
                <w:b/>
                <w:bCs/>
              </w:rPr>
            </w:pPr>
          </w:p>
        </w:tc>
      </w:tr>
      <w:tr w:rsidR="00A911DE" w:rsidRPr="00A911DE" w14:paraId="715CC2FF" w14:textId="77777777" w:rsidTr="0086457A">
        <w:trPr>
          <w:trHeight w:val="315"/>
        </w:trPr>
        <w:tc>
          <w:tcPr>
            <w:tcW w:w="3970" w:type="dxa"/>
            <w:shd w:val="clear" w:color="000000" w:fill="FFD100"/>
            <w:vAlign w:val="center"/>
            <w:hideMark/>
          </w:tcPr>
          <w:p w14:paraId="6CC0D28D" w14:textId="77777777" w:rsidR="00A911DE" w:rsidRPr="00A911DE" w:rsidRDefault="00A911DE" w:rsidP="001B6384">
            <w:pPr>
              <w:spacing w:after="0" w:line="240" w:lineRule="auto"/>
              <w:ind w:right="118"/>
              <w:rPr>
                <w:rFonts w:ascii="Calibri" w:hAnsi="Calibri" w:cs="Calibri"/>
                <w:b/>
                <w:bCs/>
              </w:rPr>
            </w:pPr>
            <w:r w:rsidRPr="00A911DE">
              <w:rPr>
                <w:rFonts w:ascii="Calibri" w:hAnsi="Calibri" w:cs="Calibri"/>
                <w:b/>
                <w:bCs/>
              </w:rPr>
              <w:t>Channel Partner</w:t>
            </w:r>
          </w:p>
        </w:tc>
        <w:tc>
          <w:tcPr>
            <w:tcW w:w="6236" w:type="dxa"/>
            <w:shd w:val="clear" w:color="auto" w:fill="auto"/>
            <w:vAlign w:val="center"/>
            <w:hideMark/>
          </w:tcPr>
          <w:p w14:paraId="3C5A5ADE" w14:textId="309CCE0E" w:rsidR="00A911DE" w:rsidRPr="00A911DE" w:rsidRDefault="006E5912" w:rsidP="001B6384">
            <w:pPr>
              <w:spacing w:after="0" w:line="240" w:lineRule="auto"/>
              <w:ind w:right="118"/>
              <w:rPr>
                <w:rFonts w:ascii="Calibri" w:hAnsi="Calibri" w:cs="Calibri"/>
                <w:b/>
                <w:bCs/>
              </w:rPr>
            </w:pPr>
            <w:r w:rsidRPr="009B1C5E">
              <w:rPr>
                <w:rFonts w:ascii="Calibri" w:hAnsi="Calibri" w:cs="Calibri"/>
                <w:b/>
                <w:bCs/>
              </w:rPr>
              <w:t xml:space="preserve">Ireland </w:t>
            </w:r>
            <w:r w:rsidR="00DD7439">
              <w:rPr>
                <w:rFonts w:ascii="Calibri" w:hAnsi="Calibri" w:cs="Calibri"/>
                <w:b/>
                <w:bCs/>
              </w:rPr>
              <w:t>PMO</w:t>
            </w:r>
          </w:p>
        </w:tc>
      </w:tr>
      <w:tr w:rsidR="00A911DE" w:rsidRPr="00A911DE" w14:paraId="71435148" w14:textId="77777777" w:rsidTr="005B3C9E">
        <w:trPr>
          <w:trHeight w:val="537"/>
        </w:trPr>
        <w:tc>
          <w:tcPr>
            <w:tcW w:w="3970" w:type="dxa"/>
            <w:shd w:val="clear" w:color="000000" w:fill="FFD100"/>
            <w:vAlign w:val="center"/>
            <w:hideMark/>
          </w:tcPr>
          <w:p w14:paraId="0EB1B45D" w14:textId="77777777" w:rsidR="00A911DE" w:rsidRPr="00A911DE" w:rsidRDefault="00A911DE" w:rsidP="001B6384">
            <w:pPr>
              <w:spacing w:after="0" w:line="240" w:lineRule="auto"/>
              <w:ind w:right="118"/>
              <w:rPr>
                <w:rFonts w:ascii="Calibri" w:hAnsi="Calibri" w:cs="Calibri"/>
                <w:b/>
                <w:bCs/>
              </w:rPr>
            </w:pPr>
            <w:r w:rsidRPr="00A911DE">
              <w:rPr>
                <w:rFonts w:ascii="Calibri" w:hAnsi="Calibri" w:cs="Calibri"/>
                <w:b/>
                <w:bCs/>
              </w:rPr>
              <w:t>Submitting Consultant</w:t>
            </w:r>
          </w:p>
        </w:tc>
        <w:tc>
          <w:tcPr>
            <w:tcW w:w="6236" w:type="dxa"/>
            <w:shd w:val="clear" w:color="auto" w:fill="auto"/>
            <w:vAlign w:val="center"/>
            <w:hideMark/>
          </w:tcPr>
          <w:p w14:paraId="526113D9" w14:textId="08DA6A0E" w:rsidR="00A911DE" w:rsidRPr="00A911DE" w:rsidRDefault="00DD7439" w:rsidP="001B6384">
            <w:pPr>
              <w:spacing w:after="0" w:line="240" w:lineRule="auto"/>
              <w:ind w:right="118"/>
              <w:rPr>
                <w:rFonts w:ascii="Calibri" w:hAnsi="Calibri" w:cs="Calibri"/>
                <w:b/>
                <w:bCs/>
              </w:rPr>
            </w:pPr>
            <w:r>
              <w:rPr>
                <w:rFonts w:ascii="Calibri" w:hAnsi="Calibri" w:cs="Calibri"/>
                <w:b/>
                <w:bCs/>
              </w:rPr>
              <w:t>Mark Bonnici</w:t>
            </w:r>
          </w:p>
        </w:tc>
      </w:tr>
      <w:tr w:rsidR="00A911DE" w:rsidRPr="00A911DE" w14:paraId="16E76743" w14:textId="77777777" w:rsidTr="008600A2">
        <w:trPr>
          <w:trHeight w:val="544"/>
        </w:trPr>
        <w:tc>
          <w:tcPr>
            <w:tcW w:w="3970" w:type="dxa"/>
            <w:shd w:val="clear" w:color="000000" w:fill="FFD100"/>
            <w:vAlign w:val="center"/>
            <w:hideMark/>
          </w:tcPr>
          <w:p w14:paraId="3E92351C" w14:textId="77777777" w:rsidR="00A911DE" w:rsidRPr="00A911DE" w:rsidRDefault="00A911DE" w:rsidP="001B6384">
            <w:pPr>
              <w:spacing w:after="0" w:line="240" w:lineRule="auto"/>
              <w:ind w:right="118"/>
              <w:rPr>
                <w:rFonts w:ascii="Calibri" w:hAnsi="Calibri" w:cs="Calibri"/>
                <w:b/>
                <w:bCs/>
              </w:rPr>
            </w:pPr>
            <w:r w:rsidRPr="00A911DE">
              <w:rPr>
                <w:rFonts w:ascii="Calibri" w:hAnsi="Calibri" w:cs="Calibri"/>
                <w:b/>
                <w:bCs/>
              </w:rPr>
              <w:t>Freshdesk Ref</w:t>
            </w:r>
            <w:r w:rsidR="0086457A">
              <w:rPr>
                <w:rFonts w:ascii="Calibri" w:hAnsi="Calibri" w:cs="Calibri"/>
                <w:b/>
                <w:bCs/>
              </w:rPr>
              <w:t xml:space="preserve"> / Teamwork Ref</w:t>
            </w:r>
          </w:p>
        </w:tc>
        <w:tc>
          <w:tcPr>
            <w:tcW w:w="6236" w:type="dxa"/>
            <w:shd w:val="clear" w:color="auto" w:fill="auto"/>
            <w:vAlign w:val="center"/>
          </w:tcPr>
          <w:p w14:paraId="0A0C5A0D" w14:textId="0B540868" w:rsidR="00A911DE" w:rsidRPr="00A911DE" w:rsidRDefault="00A911DE" w:rsidP="001B6384">
            <w:pPr>
              <w:spacing w:after="0" w:line="240" w:lineRule="auto"/>
              <w:ind w:right="118"/>
              <w:rPr>
                <w:rFonts w:ascii="Calibri" w:hAnsi="Calibri" w:cs="Calibri"/>
                <w:b/>
                <w:bCs/>
              </w:rPr>
            </w:pPr>
          </w:p>
        </w:tc>
      </w:tr>
      <w:tr w:rsidR="00A911DE" w:rsidRPr="00A911DE" w14:paraId="328DC55A" w14:textId="77777777" w:rsidTr="008600A2">
        <w:trPr>
          <w:trHeight w:val="566"/>
        </w:trPr>
        <w:tc>
          <w:tcPr>
            <w:tcW w:w="3970" w:type="dxa"/>
            <w:shd w:val="clear" w:color="000000" w:fill="FFD100"/>
            <w:vAlign w:val="center"/>
            <w:hideMark/>
          </w:tcPr>
          <w:p w14:paraId="46713434" w14:textId="77777777" w:rsidR="00A911DE" w:rsidRPr="00A911DE" w:rsidRDefault="00A911DE" w:rsidP="001B6384">
            <w:pPr>
              <w:spacing w:after="0" w:line="240" w:lineRule="auto"/>
              <w:ind w:right="118"/>
              <w:rPr>
                <w:rFonts w:ascii="Calibri" w:hAnsi="Calibri" w:cs="Calibri"/>
                <w:b/>
                <w:bCs/>
              </w:rPr>
            </w:pPr>
            <w:r w:rsidRPr="00A911DE">
              <w:rPr>
                <w:rFonts w:ascii="Calibri" w:hAnsi="Calibri" w:cs="Calibri"/>
                <w:b/>
                <w:bCs/>
              </w:rPr>
              <w:t>Version Number</w:t>
            </w:r>
            <w:r w:rsidR="0086457A">
              <w:rPr>
                <w:rFonts w:ascii="Calibri" w:hAnsi="Calibri" w:cs="Calibri"/>
                <w:b/>
                <w:bCs/>
              </w:rPr>
              <w:t xml:space="preserve"> </w:t>
            </w:r>
          </w:p>
        </w:tc>
        <w:tc>
          <w:tcPr>
            <w:tcW w:w="6236" w:type="dxa"/>
            <w:shd w:val="clear" w:color="auto" w:fill="auto"/>
            <w:vAlign w:val="center"/>
          </w:tcPr>
          <w:p w14:paraId="7FEC97F0" w14:textId="60BD0485" w:rsidR="008600A2" w:rsidRPr="00A911DE" w:rsidRDefault="008600A2" w:rsidP="001B6384">
            <w:pPr>
              <w:spacing w:after="0" w:line="240" w:lineRule="auto"/>
              <w:ind w:right="118"/>
              <w:rPr>
                <w:rFonts w:ascii="Calibri" w:hAnsi="Calibri" w:cs="Calibri"/>
                <w:b/>
                <w:bCs/>
              </w:rPr>
            </w:pPr>
          </w:p>
        </w:tc>
      </w:tr>
      <w:tr w:rsidR="0086457A" w:rsidRPr="00A911DE" w14:paraId="68245E29" w14:textId="77777777" w:rsidTr="005B3C9E">
        <w:trPr>
          <w:trHeight w:val="544"/>
        </w:trPr>
        <w:tc>
          <w:tcPr>
            <w:tcW w:w="3970" w:type="dxa"/>
            <w:shd w:val="clear" w:color="000000" w:fill="FFD100"/>
            <w:vAlign w:val="center"/>
          </w:tcPr>
          <w:p w14:paraId="03D8EE95" w14:textId="77777777" w:rsidR="0086457A" w:rsidRPr="00A911DE" w:rsidRDefault="0086457A" w:rsidP="001B6384">
            <w:pPr>
              <w:spacing w:after="0" w:line="240" w:lineRule="auto"/>
              <w:ind w:right="118"/>
              <w:rPr>
                <w:rFonts w:ascii="Calibri" w:hAnsi="Calibri" w:cs="Calibri"/>
                <w:b/>
                <w:bCs/>
              </w:rPr>
            </w:pPr>
            <w:r>
              <w:rPr>
                <w:rFonts w:ascii="Calibri" w:hAnsi="Calibri" w:cs="Calibri"/>
                <w:b/>
                <w:bCs/>
              </w:rPr>
              <w:t>Job Number</w:t>
            </w:r>
          </w:p>
        </w:tc>
        <w:tc>
          <w:tcPr>
            <w:tcW w:w="6236" w:type="dxa"/>
            <w:shd w:val="clear" w:color="auto" w:fill="auto"/>
            <w:vAlign w:val="center"/>
          </w:tcPr>
          <w:p w14:paraId="34457849" w14:textId="31D32845" w:rsidR="0086457A" w:rsidRPr="009B1C5E" w:rsidRDefault="0086457A" w:rsidP="001B6384">
            <w:pPr>
              <w:spacing w:after="0" w:line="240" w:lineRule="auto"/>
              <w:ind w:right="118"/>
              <w:rPr>
                <w:rFonts w:ascii="Calibri" w:hAnsi="Calibri" w:cs="Calibri"/>
                <w:b/>
                <w:bCs/>
              </w:rPr>
            </w:pPr>
          </w:p>
        </w:tc>
      </w:tr>
      <w:tr w:rsidR="00A911DE" w:rsidRPr="00A911DE" w14:paraId="74DD7C0A" w14:textId="77777777" w:rsidTr="0086457A">
        <w:trPr>
          <w:trHeight w:val="315"/>
        </w:trPr>
        <w:tc>
          <w:tcPr>
            <w:tcW w:w="3970" w:type="dxa"/>
            <w:shd w:val="clear" w:color="000000" w:fill="FFD100"/>
            <w:vAlign w:val="center"/>
            <w:hideMark/>
          </w:tcPr>
          <w:p w14:paraId="563D3C56" w14:textId="77777777" w:rsidR="00A911DE" w:rsidRPr="00A911DE" w:rsidRDefault="00A911DE" w:rsidP="001B6384">
            <w:pPr>
              <w:spacing w:after="0" w:line="240" w:lineRule="auto"/>
              <w:ind w:right="118"/>
              <w:rPr>
                <w:rFonts w:ascii="Calibri" w:hAnsi="Calibri" w:cs="Calibri"/>
                <w:b/>
                <w:bCs/>
              </w:rPr>
            </w:pPr>
            <w:r w:rsidRPr="00A911DE">
              <w:rPr>
                <w:rFonts w:ascii="Calibri" w:hAnsi="Calibri" w:cs="Calibri"/>
                <w:b/>
                <w:bCs/>
              </w:rPr>
              <w:t>Link/Path to Data and Plugins</w:t>
            </w:r>
          </w:p>
        </w:tc>
        <w:tc>
          <w:tcPr>
            <w:tcW w:w="6236" w:type="dxa"/>
            <w:shd w:val="clear" w:color="auto" w:fill="auto"/>
            <w:vAlign w:val="center"/>
            <w:hideMark/>
          </w:tcPr>
          <w:p w14:paraId="0640893C" w14:textId="0CBC9DAC" w:rsidR="00A911DE" w:rsidRPr="00A911DE" w:rsidRDefault="00A911DE" w:rsidP="001B6384">
            <w:pPr>
              <w:spacing w:after="0" w:line="240" w:lineRule="auto"/>
              <w:ind w:right="118"/>
              <w:rPr>
                <w:rFonts w:ascii="Calibri" w:hAnsi="Calibri" w:cs="Calibri"/>
                <w:b/>
                <w:bCs/>
              </w:rPr>
            </w:pPr>
          </w:p>
        </w:tc>
      </w:tr>
      <w:tr w:rsidR="00A911DE" w:rsidRPr="00A911DE" w14:paraId="64903A86" w14:textId="77777777" w:rsidTr="008600A2">
        <w:trPr>
          <w:trHeight w:val="532"/>
        </w:trPr>
        <w:tc>
          <w:tcPr>
            <w:tcW w:w="3970" w:type="dxa"/>
            <w:shd w:val="clear" w:color="000000" w:fill="FFD100"/>
            <w:vAlign w:val="center"/>
            <w:hideMark/>
          </w:tcPr>
          <w:p w14:paraId="6FEC8324" w14:textId="77777777" w:rsidR="00A911DE" w:rsidRPr="00A911DE" w:rsidRDefault="00C55912" w:rsidP="001B6384">
            <w:pPr>
              <w:spacing w:after="0" w:line="240" w:lineRule="auto"/>
              <w:ind w:right="118"/>
              <w:rPr>
                <w:rFonts w:ascii="Calibri" w:hAnsi="Calibri" w:cs="Calibri"/>
                <w:b/>
                <w:bCs/>
              </w:rPr>
            </w:pPr>
            <w:r>
              <w:rPr>
                <w:rFonts w:ascii="Calibri" w:hAnsi="Calibri" w:cs="Calibri"/>
                <w:b/>
                <w:bCs/>
              </w:rPr>
              <w:t>U</w:t>
            </w:r>
            <w:r w:rsidR="00BA0CE9">
              <w:rPr>
                <w:rFonts w:ascii="Calibri" w:hAnsi="Calibri" w:cs="Calibri"/>
                <w:b/>
                <w:bCs/>
              </w:rPr>
              <w:t xml:space="preserve">ser </w:t>
            </w:r>
            <w:r>
              <w:rPr>
                <w:rFonts w:ascii="Calibri" w:hAnsi="Calibri" w:cs="Calibri"/>
                <w:b/>
                <w:bCs/>
              </w:rPr>
              <w:t>A</w:t>
            </w:r>
            <w:r w:rsidR="00BA0CE9">
              <w:rPr>
                <w:rFonts w:ascii="Calibri" w:hAnsi="Calibri" w:cs="Calibri"/>
                <w:b/>
                <w:bCs/>
              </w:rPr>
              <w:t>cceptance Testing</w:t>
            </w:r>
            <w:r w:rsidR="00A911DE" w:rsidRPr="00A911DE">
              <w:rPr>
                <w:rFonts w:ascii="Calibri" w:hAnsi="Calibri" w:cs="Calibri"/>
                <w:b/>
                <w:bCs/>
              </w:rPr>
              <w:t xml:space="preserve"> Date</w:t>
            </w:r>
          </w:p>
        </w:tc>
        <w:tc>
          <w:tcPr>
            <w:tcW w:w="6236" w:type="dxa"/>
            <w:shd w:val="clear" w:color="auto" w:fill="auto"/>
            <w:vAlign w:val="center"/>
          </w:tcPr>
          <w:p w14:paraId="5F6FF17D" w14:textId="3AF98CF7" w:rsidR="00A911DE" w:rsidRPr="00A911DE" w:rsidRDefault="00A911DE" w:rsidP="001B6384">
            <w:pPr>
              <w:spacing w:after="0" w:line="240" w:lineRule="auto"/>
              <w:ind w:right="118"/>
              <w:rPr>
                <w:rFonts w:ascii="Calibri" w:hAnsi="Calibri" w:cs="Calibri"/>
                <w:b/>
                <w:bCs/>
              </w:rPr>
            </w:pPr>
          </w:p>
        </w:tc>
      </w:tr>
      <w:tr w:rsidR="00A911DE" w:rsidRPr="00A911DE" w14:paraId="4F15688C" w14:textId="77777777" w:rsidTr="008600A2">
        <w:trPr>
          <w:trHeight w:val="315"/>
        </w:trPr>
        <w:tc>
          <w:tcPr>
            <w:tcW w:w="3970" w:type="dxa"/>
            <w:shd w:val="clear" w:color="000000" w:fill="FFD100"/>
            <w:vAlign w:val="center"/>
            <w:hideMark/>
          </w:tcPr>
          <w:p w14:paraId="0C221906" w14:textId="77777777" w:rsidR="00A911DE" w:rsidRPr="00A911DE" w:rsidRDefault="00B269F5" w:rsidP="001B6384">
            <w:pPr>
              <w:spacing w:after="0" w:line="240" w:lineRule="auto"/>
              <w:ind w:right="118"/>
              <w:rPr>
                <w:rFonts w:ascii="Calibri" w:hAnsi="Calibri" w:cs="Calibri"/>
                <w:b/>
                <w:bCs/>
              </w:rPr>
            </w:pPr>
            <w:r>
              <w:rPr>
                <w:rFonts w:ascii="Calibri" w:hAnsi="Calibri" w:cs="Calibri"/>
                <w:b/>
                <w:bCs/>
              </w:rPr>
              <w:t>PCR Approved by</w:t>
            </w:r>
          </w:p>
        </w:tc>
        <w:tc>
          <w:tcPr>
            <w:tcW w:w="6236" w:type="dxa"/>
            <w:shd w:val="clear" w:color="auto" w:fill="auto"/>
            <w:vAlign w:val="center"/>
          </w:tcPr>
          <w:p w14:paraId="1326B5B4" w14:textId="4C5EA1CC" w:rsidR="006C4117" w:rsidRPr="00A911DE" w:rsidRDefault="008600A2" w:rsidP="001B6384">
            <w:pPr>
              <w:spacing w:after="0" w:line="240" w:lineRule="auto"/>
              <w:ind w:right="118"/>
              <w:rPr>
                <w:rFonts w:ascii="Calibri" w:hAnsi="Calibri" w:cs="Calibri"/>
                <w:b/>
                <w:bCs/>
              </w:rPr>
            </w:pPr>
            <w:r>
              <w:rPr>
                <w:rFonts w:ascii="Calibri" w:hAnsi="Calibri" w:cs="Calibri"/>
                <w:b/>
                <w:bCs/>
              </w:rPr>
              <w:t>Internal</w:t>
            </w:r>
          </w:p>
        </w:tc>
      </w:tr>
    </w:tbl>
    <w:p w14:paraId="03589882" w14:textId="77777777" w:rsidR="006C4117" w:rsidRDefault="006C4117" w:rsidP="003173C7">
      <w:pPr>
        <w:pStyle w:val="IPageHeading"/>
        <w:sectPr w:rsidR="006C4117" w:rsidSect="00F169D8">
          <w:footerReference w:type="even" r:id="rId12"/>
          <w:footerReference w:type="default" r:id="rId13"/>
          <w:pgSz w:w="11906" w:h="16838"/>
          <w:pgMar w:top="768" w:right="1440" w:bottom="1440" w:left="1276" w:header="708" w:footer="708" w:gutter="0"/>
          <w:cols w:space="708"/>
          <w:docGrid w:linePitch="360"/>
        </w:sectPr>
      </w:pPr>
    </w:p>
    <w:p w14:paraId="69FA3F72" w14:textId="68872F52" w:rsidR="00DD7439" w:rsidRPr="00DD7439" w:rsidRDefault="00047BB7" w:rsidP="00DD7439">
      <w:pPr>
        <w:pStyle w:val="IPageHeading"/>
        <w:rPr>
          <w:sz w:val="54"/>
        </w:rPr>
      </w:pPr>
      <w:r>
        <w:lastRenderedPageBreak/>
        <w:t>B</w:t>
      </w:r>
      <w:r w:rsidR="00B44694" w:rsidRPr="00CA2125">
        <w:t>usiness Case</w:t>
      </w:r>
      <w:r w:rsidR="00EA5190" w:rsidRPr="00CA2125">
        <w:t>/</w:t>
      </w:r>
      <w:r w:rsidR="00A911DE" w:rsidRPr="00CA2125">
        <w:t xml:space="preserve">Requirement </w:t>
      </w:r>
      <w:r w:rsidR="00CA2125">
        <w:t>D</w:t>
      </w:r>
      <w:r w:rsidR="00A911DE" w:rsidRPr="00CA2125">
        <w:t>et</w:t>
      </w:r>
      <w:r w:rsidR="00CA2125">
        <w:t>ails</w:t>
      </w:r>
    </w:p>
    <w:p w14:paraId="4060F0E6" w14:textId="77777777" w:rsidR="00DD7439" w:rsidRPr="00DD7439" w:rsidRDefault="00DD7439" w:rsidP="00DD7439">
      <w:pPr>
        <w:rPr>
          <w:rFonts w:cstheme="minorHAnsi"/>
        </w:rPr>
      </w:pPr>
      <w:r w:rsidRPr="00DD7439">
        <w:rPr>
          <w:rFonts w:cstheme="minorHAnsi"/>
        </w:rPr>
        <w:t>In the tile industry, tile products are usually measured in square metres (sqm) as opposed to number of tiles. The reason is that tiles and cartons are not a standard unit of measure since they vary according to the tile size. When builders order tiles, they measure the area which they need to cover, and the number of tiles or cartons is then calculated from this.</w:t>
      </w:r>
    </w:p>
    <w:p w14:paraId="62068464" w14:textId="77777777" w:rsidR="00DD7439" w:rsidRPr="00DD7439" w:rsidRDefault="00DD7439" w:rsidP="00DD7439">
      <w:pPr>
        <w:rPr>
          <w:rFonts w:cstheme="minorHAnsi"/>
        </w:rPr>
      </w:pPr>
      <w:r w:rsidRPr="00DD7439">
        <w:rPr>
          <w:rFonts w:cstheme="minorHAnsi"/>
        </w:rPr>
        <w:t>Therefore, a tile distributor purchases and sells tiles in sqm. When selling, they will usually sell in whole cartons so the number of cartons would be calculated from the required area and rounded up. The setting Rounding Method set to “Carton” takes care of this.</w:t>
      </w:r>
    </w:p>
    <w:p w14:paraId="2F11CC31" w14:textId="77777777" w:rsidR="00DD7439" w:rsidRPr="00DD7439" w:rsidRDefault="00DD7439" w:rsidP="00DD7439">
      <w:pPr>
        <w:rPr>
          <w:rFonts w:cstheme="minorHAnsi"/>
        </w:rPr>
      </w:pPr>
      <w:r w:rsidRPr="00DD7439">
        <w:rPr>
          <w:rFonts w:cstheme="minorHAnsi"/>
        </w:rPr>
        <w:t xml:space="preserve">Likewise, they usually stock the products in sqm because knowing the number of tiles or cartons in a warehouse for the reasons mentioned above. </w:t>
      </w:r>
    </w:p>
    <w:p w14:paraId="58D341CD" w14:textId="77777777" w:rsidR="00DD7439" w:rsidRPr="00DD7439" w:rsidRDefault="00DD7439" w:rsidP="00DD7439">
      <w:pPr>
        <w:rPr>
          <w:rFonts w:cstheme="minorHAnsi"/>
        </w:rPr>
      </w:pPr>
      <w:r w:rsidRPr="00DD7439">
        <w:rPr>
          <w:rFonts w:cstheme="minorHAnsi"/>
        </w:rPr>
        <w:t>On the other hand, picking would be done in cartons. The pickers will not be able to convert a quantity in sqm into the number of cartons for each different tile product to be picked.</w:t>
      </w:r>
    </w:p>
    <w:p w14:paraId="3B9032AF" w14:textId="77777777" w:rsidR="00DD7439" w:rsidRPr="00DD7439" w:rsidRDefault="00DD7439" w:rsidP="00DD7439">
      <w:pPr>
        <w:rPr>
          <w:rFonts w:cstheme="minorHAnsi"/>
        </w:rPr>
      </w:pPr>
      <w:r w:rsidRPr="00DD7439">
        <w:rPr>
          <w:rFonts w:cstheme="minorHAnsi"/>
        </w:rPr>
        <w:t>Similarly, a stock take would be done in cartons since it’s easier to count these and have the system convert this into sqm for each different tile product.</w:t>
      </w:r>
    </w:p>
    <w:p w14:paraId="25F53BEB" w14:textId="77777777" w:rsidR="00DD7439" w:rsidRPr="00DD7439" w:rsidRDefault="00DD7439" w:rsidP="00DD7439">
      <w:pPr>
        <w:rPr>
          <w:rFonts w:cstheme="minorHAnsi"/>
        </w:rPr>
      </w:pPr>
      <w:r w:rsidRPr="00DD7439">
        <w:rPr>
          <w:rFonts w:cstheme="minorHAnsi"/>
        </w:rPr>
        <w:t>[Note that whatever is described in this document about quantities in square metres applies to quantities in square yards since some companies use this as their preferred unit.]</w:t>
      </w:r>
    </w:p>
    <w:p w14:paraId="4C085FC4" w14:textId="481EBE49" w:rsidR="00DD7439" w:rsidRDefault="00DD7439" w:rsidP="00DD7439">
      <w:pPr>
        <w:rPr>
          <w:rFonts w:cstheme="minorHAnsi"/>
        </w:rPr>
      </w:pPr>
    </w:p>
    <w:p w14:paraId="5E76C0D9" w14:textId="3654BC98" w:rsidR="00DD7439" w:rsidRDefault="00DD7439" w:rsidP="00DD7439">
      <w:pPr>
        <w:rPr>
          <w:rFonts w:cstheme="minorHAnsi"/>
        </w:rPr>
      </w:pPr>
      <w:r w:rsidRPr="00DD7439">
        <w:rPr>
          <w:rFonts w:cstheme="minorHAnsi"/>
        </w:rPr>
        <w:t xml:space="preserve">The </w:t>
      </w:r>
      <w:r>
        <w:rPr>
          <w:rFonts w:cstheme="minorHAnsi"/>
        </w:rPr>
        <w:t>below screenshot</w:t>
      </w:r>
      <w:r w:rsidRPr="00DD7439">
        <w:rPr>
          <w:rFonts w:cstheme="minorHAnsi"/>
        </w:rPr>
        <w:t xml:space="preserve"> shows an example of a tile product set up as follows:</w:t>
      </w:r>
      <w:r w:rsidRPr="00DD7439">
        <w:rPr>
          <w:rFonts w:cstheme="minorHAnsi"/>
        </w:rPr>
        <w:br/>
        <w:t>1 tile = 100 cm x 50 cm = 0.5 sqm</w:t>
      </w:r>
      <w:r w:rsidRPr="00DD7439">
        <w:rPr>
          <w:rFonts w:cstheme="minorHAnsi"/>
        </w:rPr>
        <w:br/>
        <w:t>1 sqm = 2 tiles</w:t>
      </w:r>
      <w:r w:rsidRPr="00DD7439">
        <w:rPr>
          <w:rFonts w:cstheme="minorHAnsi"/>
        </w:rPr>
        <w:br/>
        <w:t>1 carton = 8 tiles = 4 sqm</w:t>
      </w:r>
    </w:p>
    <w:p w14:paraId="6BD3F4D9" w14:textId="269DB44C" w:rsidR="00DD7439" w:rsidRPr="00DD7439" w:rsidRDefault="00DD7439" w:rsidP="00DD7439">
      <w:pPr>
        <w:rPr>
          <w:rFonts w:cstheme="minorHAnsi"/>
        </w:rPr>
      </w:pPr>
      <w:r>
        <w:rPr>
          <w:rFonts w:cstheme="minorHAnsi"/>
        </w:rPr>
        <w:t>Tiles are stocked by area (sqm).</w:t>
      </w:r>
      <w:r>
        <w:rPr>
          <w:rFonts w:cstheme="minorHAnsi"/>
        </w:rPr>
        <w:br/>
        <w:t xml:space="preserve">The rounding method is Carton, i.e. </w:t>
      </w:r>
      <w:r w:rsidR="0021278C">
        <w:rPr>
          <w:rFonts w:cstheme="minorHAnsi"/>
        </w:rPr>
        <w:t>when entering a value in sqm, the user would expect the converted value in cartons to be rounded up.</w:t>
      </w:r>
    </w:p>
    <w:p w14:paraId="784EC149" w14:textId="77777777" w:rsidR="00DD7439" w:rsidRPr="00DD7439" w:rsidRDefault="00DD7439" w:rsidP="00DD7439">
      <w:pPr>
        <w:rPr>
          <w:rFonts w:cstheme="minorHAnsi"/>
        </w:rPr>
      </w:pPr>
      <w:r w:rsidRPr="00DD7439">
        <w:rPr>
          <w:rFonts w:cstheme="minorHAnsi"/>
          <w:noProof/>
        </w:rPr>
        <w:lastRenderedPageBreak/>
        <w:drawing>
          <wp:inline distT="0" distB="0" distL="0" distR="0" wp14:anchorId="05614112" wp14:editId="60363155">
            <wp:extent cx="5731510" cy="5772785"/>
            <wp:effectExtent l="0" t="0" r="254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4"/>
                    <a:stretch>
                      <a:fillRect/>
                    </a:stretch>
                  </pic:blipFill>
                  <pic:spPr>
                    <a:xfrm>
                      <a:off x="0" y="0"/>
                      <a:ext cx="5731510" cy="5772785"/>
                    </a:xfrm>
                    <a:prstGeom prst="rect">
                      <a:avLst/>
                    </a:prstGeom>
                  </pic:spPr>
                </pic:pic>
              </a:graphicData>
            </a:graphic>
          </wp:inline>
        </w:drawing>
      </w:r>
    </w:p>
    <w:p w14:paraId="0059FA9F" w14:textId="5C79CF9E" w:rsidR="00DD7439" w:rsidRPr="00DD7439" w:rsidRDefault="00DD7439" w:rsidP="00DD7439">
      <w:pPr>
        <w:rPr>
          <w:rFonts w:cstheme="minorHAnsi"/>
        </w:rPr>
      </w:pPr>
      <w:r w:rsidRPr="00DD7439">
        <w:rPr>
          <w:rFonts w:cstheme="minorHAnsi"/>
        </w:rPr>
        <w:br/>
      </w:r>
    </w:p>
    <w:p w14:paraId="10FC08A5" w14:textId="77777777" w:rsidR="0021278C" w:rsidRDefault="0021278C">
      <w:pPr>
        <w:rPr>
          <w:rFonts w:cstheme="minorHAnsi"/>
          <w:b/>
          <w:bCs/>
        </w:rPr>
      </w:pPr>
      <w:r>
        <w:rPr>
          <w:rFonts w:cstheme="minorHAnsi"/>
          <w:b/>
          <w:bCs/>
        </w:rPr>
        <w:br w:type="page"/>
      </w:r>
    </w:p>
    <w:p w14:paraId="16F044DC" w14:textId="7531C268" w:rsidR="00DD7439" w:rsidRPr="00DD7439" w:rsidRDefault="00DD7439" w:rsidP="00DD7439">
      <w:pPr>
        <w:rPr>
          <w:rFonts w:cstheme="minorHAnsi"/>
          <w:b/>
          <w:bCs/>
        </w:rPr>
      </w:pPr>
      <w:r w:rsidRPr="00DD7439">
        <w:rPr>
          <w:rFonts w:cstheme="minorHAnsi"/>
          <w:b/>
          <w:bCs/>
        </w:rPr>
        <w:lastRenderedPageBreak/>
        <w:t>Sales Process</w:t>
      </w:r>
    </w:p>
    <w:p w14:paraId="1A8E6E03" w14:textId="2A193F16" w:rsidR="00DD7439" w:rsidRDefault="00DD7439" w:rsidP="00DD7439">
      <w:pPr>
        <w:rPr>
          <w:rFonts w:cstheme="minorHAnsi"/>
        </w:rPr>
      </w:pPr>
      <w:r w:rsidRPr="00DD7439">
        <w:rPr>
          <w:rFonts w:cstheme="minorHAnsi"/>
        </w:rPr>
        <w:t xml:space="preserve">iQ handles </w:t>
      </w:r>
      <w:r w:rsidR="00892B56">
        <w:rPr>
          <w:rFonts w:cstheme="minorHAnsi"/>
        </w:rPr>
        <w:t>the sales order process</w:t>
      </w:r>
      <w:r w:rsidRPr="00DD7439">
        <w:rPr>
          <w:rFonts w:cstheme="minorHAnsi"/>
        </w:rPr>
        <w:t xml:space="preserve"> of a tile product very well. When a tile product is entered, the Tile Selling Quantity Selection window appears allowing the user to enter the quantity. This can be in sqm, cartons or even tiles. The rounding method dropdown </w:t>
      </w:r>
      <w:r w:rsidR="0021278C">
        <w:rPr>
          <w:rFonts w:cstheme="minorHAnsi"/>
        </w:rPr>
        <w:t xml:space="preserve">is </w:t>
      </w:r>
      <w:r w:rsidRPr="00DD7439">
        <w:rPr>
          <w:rFonts w:cstheme="minorHAnsi"/>
        </w:rPr>
        <w:t>set to Carton</w:t>
      </w:r>
      <w:r w:rsidR="0021278C">
        <w:rPr>
          <w:rFonts w:cstheme="minorHAnsi"/>
        </w:rPr>
        <w:t xml:space="preserve"> by default as per the product’s setup</w:t>
      </w:r>
      <w:r w:rsidRPr="00DD7439">
        <w:rPr>
          <w:rFonts w:cstheme="minorHAnsi"/>
        </w:rPr>
        <w:t>. This means that when entering the area or quantity of tiles, the number of cartons is calculated and rounded up so that only whole cartons are sold.</w:t>
      </w:r>
    </w:p>
    <w:p w14:paraId="741E5D0D" w14:textId="7199B0BF" w:rsidR="00892B56" w:rsidRDefault="00892B56" w:rsidP="00DD7439">
      <w:pPr>
        <w:rPr>
          <w:rFonts w:cstheme="minorHAnsi"/>
        </w:rPr>
      </w:pPr>
      <w:r>
        <w:rPr>
          <w:rFonts w:cstheme="minorHAnsi"/>
        </w:rPr>
        <w:t xml:space="preserve">The screenshots </w:t>
      </w:r>
      <w:r w:rsidR="008600A2">
        <w:rPr>
          <w:rFonts w:cstheme="minorHAnsi"/>
        </w:rPr>
        <w:t>below</w:t>
      </w:r>
      <w:r>
        <w:rPr>
          <w:rFonts w:cstheme="minorHAnsi"/>
        </w:rPr>
        <w:t xml:space="preserve"> show that w</w:t>
      </w:r>
      <w:r w:rsidRPr="00DD7439">
        <w:rPr>
          <w:rFonts w:cstheme="minorHAnsi"/>
        </w:rPr>
        <w:t xml:space="preserve">hen ordering 9 sqm, iQ converts this as follows: </w:t>
      </w:r>
      <w:r w:rsidRPr="00DD7439">
        <w:rPr>
          <w:rFonts w:cstheme="minorHAnsi"/>
        </w:rPr>
        <w:br/>
        <w:t>9 sqm = 18 tiles = 2.25 cartons -&gt; rounded to 3 cartons</w:t>
      </w:r>
      <w:r w:rsidRPr="00DD7439">
        <w:rPr>
          <w:rFonts w:cstheme="minorHAnsi"/>
        </w:rPr>
        <w:br/>
        <w:t xml:space="preserve">3 cartons = 24 tiles = </w:t>
      </w:r>
      <w:r>
        <w:rPr>
          <w:rFonts w:cstheme="minorHAnsi"/>
        </w:rPr>
        <w:t xml:space="preserve">12 </w:t>
      </w:r>
      <w:r w:rsidRPr="00DD7439">
        <w:rPr>
          <w:rFonts w:cstheme="minorHAnsi"/>
        </w:rPr>
        <w:t>sqm</w:t>
      </w:r>
      <w:r w:rsidRPr="00DD7439">
        <w:rPr>
          <w:rFonts w:cstheme="minorHAnsi"/>
        </w:rPr>
        <w:br/>
        <w:t>The same conversion would be done if entering the number of tiles.</w:t>
      </w:r>
    </w:p>
    <w:p w14:paraId="77F30C77" w14:textId="77777777" w:rsidR="00892B56" w:rsidRDefault="00892B56" w:rsidP="00DD7439">
      <w:pPr>
        <w:rPr>
          <w:rFonts w:cstheme="minorHAnsi"/>
        </w:rPr>
      </w:pPr>
    </w:p>
    <w:p w14:paraId="651F32E0" w14:textId="77777777" w:rsidR="00DD7439" w:rsidRPr="00DD7439" w:rsidRDefault="00DD7439" w:rsidP="00DD7439">
      <w:pPr>
        <w:rPr>
          <w:rFonts w:cstheme="minorHAnsi"/>
        </w:rPr>
      </w:pPr>
      <w:r w:rsidRPr="00DD7439">
        <w:rPr>
          <w:rFonts w:cstheme="minorHAnsi"/>
          <w:noProof/>
        </w:rPr>
        <w:drawing>
          <wp:inline distT="0" distB="0" distL="0" distR="0" wp14:anchorId="40502909" wp14:editId="5E431DCD">
            <wp:extent cx="6645910" cy="3071495"/>
            <wp:effectExtent l="0" t="0" r="2540"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15"/>
                    <a:stretch>
                      <a:fillRect/>
                    </a:stretch>
                  </pic:blipFill>
                  <pic:spPr>
                    <a:xfrm>
                      <a:off x="0" y="0"/>
                      <a:ext cx="6645910" cy="3071495"/>
                    </a:xfrm>
                    <a:prstGeom prst="rect">
                      <a:avLst/>
                    </a:prstGeom>
                  </pic:spPr>
                </pic:pic>
              </a:graphicData>
            </a:graphic>
          </wp:inline>
        </w:drawing>
      </w:r>
    </w:p>
    <w:p w14:paraId="78EF99D6" w14:textId="0FB9064D" w:rsidR="00DD7439" w:rsidRPr="00DD7439" w:rsidRDefault="00DD7439" w:rsidP="00DD7439">
      <w:pPr>
        <w:rPr>
          <w:rFonts w:cstheme="minorHAnsi"/>
        </w:rPr>
      </w:pPr>
      <w:r w:rsidRPr="00DD7439">
        <w:rPr>
          <w:rFonts w:cstheme="minorHAnsi"/>
          <w:noProof/>
        </w:rPr>
        <w:drawing>
          <wp:inline distT="0" distB="0" distL="0" distR="0" wp14:anchorId="4FDB3204" wp14:editId="271A968D">
            <wp:extent cx="6645910" cy="3071495"/>
            <wp:effectExtent l="0" t="0" r="254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16"/>
                    <a:stretch>
                      <a:fillRect/>
                    </a:stretch>
                  </pic:blipFill>
                  <pic:spPr>
                    <a:xfrm>
                      <a:off x="0" y="0"/>
                      <a:ext cx="6645910" cy="3071495"/>
                    </a:xfrm>
                    <a:prstGeom prst="rect">
                      <a:avLst/>
                    </a:prstGeom>
                  </pic:spPr>
                </pic:pic>
              </a:graphicData>
            </a:graphic>
          </wp:inline>
        </w:drawing>
      </w:r>
    </w:p>
    <w:p w14:paraId="36FFF08A" w14:textId="77777777" w:rsidR="00DD7439" w:rsidRPr="00DD7439" w:rsidRDefault="00DD7439" w:rsidP="00DD7439">
      <w:pPr>
        <w:rPr>
          <w:rFonts w:cstheme="minorHAnsi"/>
        </w:rPr>
      </w:pPr>
      <w:r w:rsidRPr="00DD7439">
        <w:rPr>
          <w:rFonts w:cstheme="minorHAnsi"/>
          <w:noProof/>
        </w:rPr>
        <w:lastRenderedPageBreak/>
        <w:drawing>
          <wp:inline distT="0" distB="0" distL="0" distR="0" wp14:anchorId="420E638F" wp14:editId="3D0E319A">
            <wp:extent cx="6645910" cy="2623820"/>
            <wp:effectExtent l="0" t="0" r="2540" b="508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7"/>
                    <a:stretch>
                      <a:fillRect/>
                    </a:stretch>
                  </pic:blipFill>
                  <pic:spPr>
                    <a:xfrm>
                      <a:off x="0" y="0"/>
                      <a:ext cx="6645910" cy="2623820"/>
                    </a:xfrm>
                    <a:prstGeom prst="rect">
                      <a:avLst/>
                    </a:prstGeom>
                  </pic:spPr>
                </pic:pic>
              </a:graphicData>
            </a:graphic>
          </wp:inline>
        </w:drawing>
      </w:r>
    </w:p>
    <w:p w14:paraId="13BBB294" w14:textId="77777777" w:rsidR="00DD7439" w:rsidRPr="00DD7439" w:rsidRDefault="00DD7439" w:rsidP="00DD7439">
      <w:pPr>
        <w:rPr>
          <w:rFonts w:cstheme="minorHAnsi"/>
        </w:rPr>
      </w:pPr>
    </w:p>
    <w:p w14:paraId="22BEA671" w14:textId="7CB6E696" w:rsidR="00DD7439" w:rsidRPr="00DD7439" w:rsidRDefault="00DD7439" w:rsidP="00DD7439">
      <w:pPr>
        <w:rPr>
          <w:rFonts w:cstheme="minorHAnsi"/>
        </w:rPr>
      </w:pPr>
      <w:r w:rsidRPr="00DD7439">
        <w:rPr>
          <w:rFonts w:cstheme="minorHAnsi"/>
        </w:rPr>
        <w:t xml:space="preserve">If the quantity is not auto allocated and the user tries to allocate the quantity, </w:t>
      </w:r>
      <w:r w:rsidRPr="00892B56">
        <w:rPr>
          <w:rFonts w:cstheme="minorHAnsi"/>
        </w:rPr>
        <w:t>upon interaction with a tile line</w:t>
      </w:r>
      <w:r w:rsidR="00892B56">
        <w:rPr>
          <w:rFonts w:cstheme="minorHAnsi"/>
        </w:rPr>
        <w:t xml:space="preserve">, </w:t>
      </w:r>
      <w:r w:rsidRPr="00DD7439">
        <w:rPr>
          <w:rFonts w:cstheme="minorHAnsi"/>
        </w:rPr>
        <w:t>the Tile Selling Quantity Selection window pops up so the user can enter the quantity of cartons which are being delivered.</w:t>
      </w:r>
    </w:p>
    <w:p w14:paraId="07040C41" w14:textId="77777777" w:rsidR="00DD7439" w:rsidRPr="00DD7439" w:rsidRDefault="00DD7439" w:rsidP="00DD7439">
      <w:pPr>
        <w:rPr>
          <w:rFonts w:cstheme="minorHAnsi"/>
        </w:rPr>
      </w:pPr>
      <w:r w:rsidRPr="00DD7439">
        <w:rPr>
          <w:rFonts w:cstheme="minorHAnsi"/>
          <w:noProof/>
        </w:rPr>
        <w:drawing>
          <wp:inline distT="0" distB="0" distL="0" distR="0" wp14:anchorId="6491B3D0" wp14:editId="44AC2EB8">
            <wp:extent cx="6645910" cy="4243070"/>
            <wp:effectExtent l="0" t="0" r="2540" b="508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18"/>
                    <a:stretch>
                      <a:fillRect/>
                    </a:stretch>
                  </pic:blipFill>
                  <pic:spPr>
                    <a:xfrm>
                      <a:off x="0" y="0"/>
                      <a:ext cx="6645910" cy="4243070"/>
                    </a:xfrm>
                    <a:prstGeom prst="rect">
                      <a:avLst/>
                    </a:prstGeom>
                  </pic:spPr>
                </pic:pic>
              </a:graphicData>
            </a:graphic>
          </wp:inline>
        </w:drawing>
      </w:r>
    </w:p>
    <w:p w14:paraId="4156CCDD" w14:textId="475B3DE4" w:rsidR="00DD7439" w:rsidRDefault="00DD7439" w:rsidP="00DD7439">
      <w:pPr>
        <w:rPr>
          <w:rFonts w:cstheme="minorHAnsi"/>
        </w:rPr>
      </w:pPr>
    </w:p>
    <w:p w14:paraId="12623AB5" w14:textId="52F353EC" w:rsidR="00892B56" w:rsidRPr="00DD7439" w:rsidRDefault="00892B56" w:rsidP="00DD7439">
      <w:pPr>
        <w:rPr>
          <w:rFonts w:cstheme="minorHAnsi"/>
        </w:rPr>
      </w:pPr>
      <w:r>
        <w:rPr>
          <w:rFonts w:cstheme="minorHAnsi"/>
        </w:rPr>
        <w:t>This is all correct and works as expected.</w:t>
      </w:r>
    </w:p>
    <w:p w14:paraId="39FE1D6A" w14:textId="6DF482B9" w:rsidR="007F1AC0" w:rsidRDefault="007F1AC0">
      <w:pPr>
        <w:rPr>
          <w:rFonts w:cstheme="minorHAnsi"/>
        </w:rPr>
      </w:pPr>
      <w:r>
        <w:rPr>
          <w:rFonts w:cstheme="minorHAnsi"/>
        </w:rPr>
        <w:br w:type="page"/>
      </w:r>
    </w:p>
    <w:p w14:paraId="5847F68E" w14:textId="06724449" w:rsidR="00DD7439" w:rsidRPr="00DD7439" w:rsidRDefault="007F1AC0" w:rsidP="00DD7439">
      <w:pPr>
        <w:rPr>
          <w:rFonts w:cstheme="minorHAnsi"/>
        </w:rPr>
      </w:pPr>
      <w:r w:rsidRPr="007F1AC0">
        <w:rPr>
          <w:rFonts w:cstheme="minorHAnsi"/>
          <w:b/>
          <w:bCs/>
        </w:rPr>
        <w:lastRenderedPageBreak/>
        <w:t>Sales Order - Batch</w:t>
      </w:r>
      <w:r>
        <w:rPr>
          <w:rFonts w:cstheme="minorHAnsi"/>
          <w:b/>
          <w:bCs/>
        </w:rPr>
        <w:t>/Bin Allocation</w:t>
      </w:r>
    </w:p>
    <w:p w14:paraId="5A495F25" w14:textId="588D83D7" w:rsidR="007F1AC0" w:rsidRDefault="007F1AC0">
      <w:pPr>
        <w:rPr>
          <w:rFonts w:cstheme="minorHAnsi"/>
        </w:rPr>
      </w:pPr>
      <w:r>
        <w:rPr>
          <w:rFonts w:cstheme="minorHAnsi"/>
        </w:rPr>
        <w:t>When ordering tiles, a batch might need to be allocated to ensure a customer buys the whole quantity from the same batch. When coming back to buy extra tiles, customers would want to order the tile from the same batch as their previous order.</w:t>
      </w:r>
    </w:p>
    <w:p w14:paraId="4807AF2A" w14:textId="7A830D26" w:rsidR="007F1AC0" w:rsidRDefault="001B7DF1">
      <w:pPr>
        <w:rPr>
          <w:rFonts w:cstheme="minorHAnsi"/>
        </w:rPr>
      </w:pPr>
      <w:r w:rsidRPr="001B7DF1">
        <w:rPr>
          <w:rFonts w:cstheme="minorHAnsi"/>
          <w:b/>
          <w:bCs/>
        </w:rPr>
        <w:t>Gap:</w:t>
      </w:r>
      <w:r w:rsidRPr="001B7DF1">
        <w:rPr>
          <w:rFonts w:cstheme="minorHAnsi"/>
          <w:b/>
          <w:bCs/>
        </w:rPr>
        <w:br/>
      </w:r>
      <w:r w:rsidR="007F1AC0">
        <w:rPr>
          <w:rFonts w:cstheme="minorHAnsi"/>
        </w:rPr>
        <w:t>T</w:t>
      </w:r>
      <w:r w:rsidR="007F1AC0" w:rsidRPr="00DD7439">
        <w:rPr>
          <w:rFonts w:cstheme="minorHAnsi"/>
        </w:rPr>
        <w:t xml:space="preserve">here is a gap when </w:t>
      </w:r>
      <w:r w:rsidR="007F1AC0">
        <w:rPr>
          <w:rFonts w:cstheme="minorHAnsi"/>
        </w:rPr>
        <w:t xml:space="preserve">allocating a bin/batch to a tile product in a </w:t>
      </w:r>
      <w:r w:rsidR="007F1AC0" w:rsidRPr="00DD7439">
        <w:rPr>
          <w:rFonts w:cstheme="minorHAnsi"/>
        </w:rPr>
        <w:t>sales order.</w:t>
      </w:r>
      <w:r>
        <w:rPr>
          <w:rFonts w:cstheme="minorHAnsi"/>
        </w:rPr>
        <w:t xml:space="preserve"> When clicking the list command “</w:t>
      </w:r>
      <w:r w:rsidRPr="001B7DF1">
        <w:rPr>
          <w:rFonts w:cstheme="minorHAnsi"/>
        </w:rPr>
        <w:t>Batch/Bin Allocation</w:t>
      </w:r>
      <w:r>
        <w:rPr>
          <w:rFonts w:cstheme="minorHAnsi"/>
        </w:rPr>
        <w:t>” for a tile product, all quantities are shown in the stocking unit (sqm) and there is no way of viewing or entering the quantity in cartons.</w:t>
      </w:r>
    </w:p>
    <w:p w14:paraId="433C79C4" w14:textId="5ADC7756" w:rsidR="001B7DF1" w:rsidRDefault="001B7DF1">
      <w:pPr>
        <w:rPr>
          <w:rFonts w:cstheme="minorHAnsi"/>
        </w:rPr>
      </w:pPr>
      <w:r w:rsidRPr="001B7DF1">
        <w:rPr>
          <w:rFonts w:cstheme="minorHAnsi"/>
          <w:noProof/>
        </w:rPr>
        <w:drawing>
          <wp:inline distT="0" distB="0" distL="0" distR="0" wp14:anchorId="56DAFDB3" wp14:editId="19286385">
            <wp:extent cx="6645910" cy="2106295"/>
            <wp:effectExtent l="0" t="0" r="2540" b="825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9"/>
                    <a:stretch>
                      <a:fillRect/>
                    </a:stretch>
                  </pic:blipFill>
                  <pic:spPr>
                    <a:xfrm>
                      <a:off x="0" y="0"/>
                      <a:ext cx="6645910" cy="2106295"/>
                    </a:xfrm>
                    <a:prstGeom prst="rect">
                      <a:avLst/>
                    </a:prstGeom>
                  </pic:spPr>
                </pic:pic>
              </a:graphicData>
            </a:graphic>
          </wp:inline>
        </w:drawing>
      </w:r>
    </w:p>
    <w:p w14:paraId="2E55379C" w14:textId="77777777" w:rsidR="007F1AC0" w:rsidRDefault="007F1AC0">
      <w:pPr>
        <w:rPr>
          <w:rFonts w:cstheme="minorHAnsi"/>
        </w:rPr>
      </w:pPr>
    </w:p>
    <w:p w14:paraId="16432FBF" w14:textId="2E78415D" w:rsidR="007F1AC0" w:rsidRDefault="007F1AC0" w:rsidP="007F1AC0">
      <w:pPr>
        <w:rPr>
          <w:rFonts w:cstheme="minorHAnsi"/>
        </w:rPr>
      </w:pPr>
      <w:r w:rsidRPr="000E5837">
        <w:rPr>
          <w:rFonts w:cstheme="minorHAnsi"/>
          <w:b/>
          <w:bCs/>
        </w:rPr>
        <w:t xml:space="preserve">Requirement: </w:t>
      </w:r>
      <w:r>
        <w:rPr>
          <w:rFonts w:cstheme="minorHAnsi"/>
          <w:b/>
          <w:bCs/>
        </w:rPr>
        <w:br/>
      </w:r>
      <w:r w:rsidR="00A87989">
        <w:rPr>
          <w:rFonts w:cstheme="minorHAnsi"/>
        </w:rPr>
        <w:t>This screen should allow the user</w:t>
      </w:r>
      <w:r w:rsidRPr="00DD7439">
        <w:rPr>
          <w:rFonts w:cstheme="minorHAnsi"/>
        </w:rPr>
        <w:t xml:space="preserve"> to </w:t>
      </w:r>
      <w:r w:rsidR="00A87989">
        <w:rPr>
          <w:rFonts w:cstheme="minorHAnsi"/>
        </w:rPr>
        <w:t>view the quantities in</w:t>
      </w:r>
      <w:r w:rsidRPr="00DD7439">
        <w:rPr>
          <w:rFonts w:cstheme="minorHAnsi"/>
        </w:rPr>
        <w:t xml:space="preserve"> a unit of their choice as well as enter the </w:t>
      </w:r>
      <w:r w:rsidR="00A87989">
        <w:rPr>
          <w:rFonts w:cstheme="minorHAnsi"/>
        </w:rPr>
        <w:t xml:space="preserve">allocated </w:t>
      </w:r>
      <w:r w:rsidRPr="00DD7439">
        <w:rPr>
          <w:rFonts w:cstheme="minorHAnsi"/>
        </w:rPr>
        <w:t>quantity in that same unit. “Carton” would be the default unit for this screen (or it could default from a value set in the product’s Tile Configuration smart part). The conversion would be done on the fly as soon as the unit is changed by the picker.</w:t>
      </w:r>
    </w:p>
    <w:p w14:paraId="05F4FB0A" w14:textId="1B97EC69" w:rsidR="00892B56" w:rsidRDefault="00892B56">
      <w:pPr>
        <w:rPr>
          <w:rFonts w:cstheme="minorHAnsi"/>
        </w:rPr>
      </w:pPr>
      <w:r>
        <w:rPr>
          <w:rFonts w:cstheme="minorHAnsi"/>
        </w:rPr>
        <w:br w:type="page"/>
      </w:r>
    </w:p>
    <w:p w14:paraId="6D955F6C" w14:textId="01676392" w:rsidR="00892B56" w:rsidRPr="00892B56" w:rsidRDefault="00892B56" w:rsidP="00DD7439">
      <w:pPr>
        <w:rPr>
          <w:rFonts w:cstheme="minorHAnsi"/>
          <w:b/>
          <w:bCs/>
        </w:rPr>
      </w:pPr>
      <w:r w:rsidRPr="00892B56">
        <w:rPr>
          <w:rFonts w:cstheme="minorHAnsi"/>
          <w:b/>
          <w:bCs/>
        </w:rPr>
        <w:lastRenderedPageBreak/>
        <w:t>Picking Note</w:t>
      </w:r>
      <w:r w:rsidR="000E5837">
        <w:rPr>
          <w:rFonts w:cstheme="minorHAnsi"/>
          <w:b/>
          <w:bCs/>
        </w:rPr>
        <w:t xml:space="preserve"> and Batch/Bin Allocation</w:t>
      </w:r>
    </w:p>
    <w:p w14:paraId="64BB5142" w14:textId="2A17A0A3" w:rsidR="00DD7439" w:rsidRPr="00DD7439" w:rsidRDefault="00B0737B" w:rsidP="00DD7439">
      <w:pPr>
        <w:rPr>
          <w:rFonts w:cstheme="minorHAnsi"/>
        </w:rPr>
      </w:pPr>
      <w:r w:rsidRPr="00B0737B">
        <w:rPr>
          <w:rFonts w:cstheme="minorHAnsi"/>
          <w:b/>
          <w:bCs/>
        </w:rPr>
        <w:t>Gap:</w:t>
      </w:r>
      <w:r w:rsidR="00A87989">
        <w:rPr>
          <w:rFonts w:cstheme="minorHAnsi"/>
          <w:b/>
          <w:bCs/>
        </w:rPr>
        <w:br/>
        <w:t>T</w:t>
      </w:r>
      <w:r w:rsidR="00DD7439" w:rsidRPr="00DD7439">
        <w:rPr>
          <w:rFonts w:cstheme="minorHAnsi"/>
        </w:rPr>
        <w:t xml:space="preserve">here is a gap when a picking note is created from the sales order. When a picker tries to confirm a picking note, they are presented with the </w:t>
      </w:r>
      <w:r w:rsidR="006874CB" w:rsidRPr="00DD7439">
        <w:rPr>
          <w:rFonts w:cstheme="minorHAnsi"/>
        </w:rPr>
        <w:t xml:space="preserve">screen </w:t>
      </w:r>
      <w:r w:rsidR="006874CB">
        <w:rPr>
          <w:rFonts w:cstheme="minorHAnsi"/>
        </w:rPr>
        <w:t xml:space="preserve">shown </w:t>
      </w:r>
      <w:r w:rsidR="00DD7439" w:rsidRPr="00DD7439">
        <w:rPr>
          <w:rFonts w:cstheme="minorHAnsi"/>
        </w:rPr>
        <w:t xml:space="preserve">below. </w:t>
      </w:r>
    </w:p>
    <w:p w14:paraId="01294472" w14:textId="77777777" w:rsidR="00DD7439" w:rsidRPr="00DD7439" w:rsidRDefault="00DD7439" w:rsidP="00DD7439">
      <w:pPr>
        <w:rPr>
          <w:rFonts w:cstheme="minorHAnsi"/>
        </w:rPr>
      </w:pPr>
      <w:r w:rsidRPr="00DD7439">
        <w:rPr>
          <w:rFonts w:cstheme="minorHAnsi"/>
          <w:noProof/>
        </w:rPr>
        <w:drawing>
          <wp:inline distT="0" distB="0" distL="0" distR="0" wp14:anchorId="1C8921DC" wp14:editId="36CE0D38">
            <wp:extent cx="6645910" cy="2818130"/>
            <wp:effectExtent l="0" t="0" r="2540" b="127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6645910" cy="2818130"/>
                    </a:xfrm>
                    <a:prstGeom prst="rect">
                      <a:avLst/>
                    </a:prstGeom>
                  </pic:spPr>
                </pic:pic>
              </a:graphicData>
            </a:graphic>
          </wp:inline>
        </w:drawing>
      </w:r>
    </w:p>
    <w:p w14:paraId="7CC3EE93" w14:textId="4CD07CED" w:rsidR="00DD7439" w:rsidRPr="00DD7439" w:rsidRDefault="00DD7439" w:rsidP="00DD7439">
      <w:pPr>
        <w:rPr>
          <w:rFonts w:cstheme="minorHAnsi"/>
        </w:rPr>
      </w:pPr>
      <w:r w:rsidRPr="00DD7439">
        <w:rPr>
          <w:rFonts w:cstheme="minorHAnsi"/>
        </w:rPr>
        <w:t xml:space="preserve">The “Quantity To Pick” and “Quantity Picked” columns have values in Tile SQM. This matches the units in the sales order, or maybe it is the Stocking Unit of the product. The field “Product.StockingUnits” can be added to the grid to show the pickers they have to pick 12 sqm at this stage. However, unless they can change the unit to cartons, they would still need to convert 12 sqm to 3 cartons. </w:t>
      </w:r>
      <w:r w:rsidR="006874CB">
        <w:rPr>
          <w:rFonts w:cstheme="minorHAnsi"/>
        </w:rPr>
        <w:t>T</w:t>
      </w:r>
      <w:r w:rsidRPr="00DD7439">
        <w:rPr>
          <w:rFonts w:cstheme="minorHAnsi"/>
        </w:rPr>
        <w:t>his ratio would vary for each product making it impossible to handle</w:t>
      </w:r>
      <w:r w:rsidR="006874CB">
        <w:rPr>
          <w:rFonts w:cstheme="minorHAnsi"/>
        </w:rPr>
        <w:t xml:space="preserve"> as they will not know it.</w:t>
      </w:r>
    </w:p>
    <w:p w14:paraId="43784E66" w14:textId="7F8FD20C" w:rsidR="006874CB" w:rsidRDefault="000E5837" w:rsidP="00DD7439">
      <w:pPr>
        <w:rPr>
          <w:rFonts w:cstheme="minorHAnsi"/>
        </w:rPr>
      </w:pPr>
      <w:r w:rsidRPr="000E5837">
        <w:rPr>
          <w:rFonts w:cstheme="minorHAnsi"/>
          <w:b/>
          <w:bCs/>
        </w:rPr>
        <w:t xml:space="preserve">Requirement: </w:t>
      </w:r>
      <w:r>
        <w:rPr>
          <w:rFonts w:cstheme="minorHAnsi"/>
          <w:b/>
          <w:bCs/>
        </w:rPr>
        <w:br/>
      </w:r>
      <w:r w:rsidR="00DD7439" w:rsidRPr="00DD7439">
        <w:rPr>
          <w:rFonts w:cstheme="minorHAnsi"/>
        </w:rPr>
        <w:t>What the pickers need is to see the quantity to pick with a unit of their choice as well as the ability to enter the quantity picked in that same unit. “Carton” would be the default unit for this screen (or it could default from a value set in the product’s Tile Configuration smart part). The conversion would be done on the fly as soon as the unit is changed by the picker.</w:t>
      </w:r>
    </w:p>
    <w:p w14:paraId="48A41716" w14:textId="30E37CE7" w:rsidR="00370828" w:rsidRDefault="000E5837" w:rsidP="00DD7439">
      <w:pPr>
        <w:rPr>
          <w:rFonts w:cstheme="minorHAnsi"/>
        </w:rPr>
      </w:pPr>
      <w:r>
        <w:rPr>
          <w:rFonts w:cstheme="minorHAnsi"/>
          <w:b/>
          <w:bCs/>
        </w:rPr>
        <w:br/>
      </w:r>
      <w:r w:rsidR="00B0737B" w:rsidRPr="00B0737B">
        <w:rPr>
          <w:rFonts w:cstheme="minorHAnsi"/>
          <w:b/>
          <w:bCs/>
        </w:rPr>
        <w:t>Gap:</w:t>
      </w:r>
      <w:r w:rsidR="00B0737B">
        <w:rPr>
          <w:rFonts w:cstheme="minorHAnsi"/>
          <w:b/>
          <w:bCs/>
        </w:rPr>
        <w:br/>
      </w:r>
      <w:r w:rsidR="00DD7439" w:rsidRPr="00DD7439">
        <w:rPr>
          <w:rFonts w:cstheme="minorHAnsi"/>
        </w:rPr>
        <w:t>The same scenario exists when clicking the “Batch/Bin Allocation” button from the Picking Note Confirmation screen</w:t>
      </w:r>
      <w:r w:rsidR="00A87989">
        <w:rPr>
          <w:rFonts w:cstheme="minorHAnsi"/>
        </w:rPr>
        <w:t xml:space="preserve"> as described earlier in the section</w:t>
      </w:r>
      <w:r w:rsidR="00A87989" w:rsidRPr="00A87989">
        <w:rPr>
          <w:rFonts w:cstheme="minorHAnsi"/>
        </w:rPr>
        <w:t xml:space="preserve"> Sales Order - Batch/Bin Allocation</w:t>
      </w:r>
      <w:r w:rsidR="00A87989">
        <w:rPr>
          <w:rFonts w:cstheme="minorHAnsi"/>
        </w:rPr>
        <w:t>.</w:t>
      </w:r>
    </w:p>
    <w:p w14:paraId="218181BB" w14:textId="567CDB34" w:rsidR="006874CB" w:rsidRDefault="00370828" w:rsidP="00DD7439">
      <w:pPr>
        <w:rPr>
          <w:rFonts w:cstheme="minorHAnsi"/>
        </w:rPr>
      </w:pPr>
      <w:r w:rsidRPr="000E5837">
        <w:rPr>
          <w:rFonts w:cstheme="minorHAnsi"/>
          <w:b/>
          <w:bCs/>
        </w:rPr>
        <w:t>Requirement:</w:t>
      </w:r>
      <w:r>
        <w:rPr>
          <w:rFonts w:cstheme="minorHAnsi"/>
          <w:b/>
          <w:bCs/>
        </w:rPr>
        <w:br/>
      </w:r>
      <w:r w:rsidR="00DD7439" w:rsidRPr="00DD7439">
        <w:rPr>
          <w:rFonts w:cstheme="minorHAnsi"/>
        </w:rPr>
        <w:t>The quantity allocated from a batch/bin must have the unit shown which the picker can change and the quantity converted correctly</w:t>
      </w:r>
      <w:r w:rsidR="00A87989">
        <w:rPr>
          <w:rFonts w:cstheme="minorHAnsi"/>
        </w:rPr>
        <w:t xml:space="preserve"> as described earlier.</w:t>
      </w:r>
    </w:p>
    <w:p w14:paraId="6555078C" w14:textId="55BF287F" w:rsidR="00DD7439" w:rsidRPr="00DD7439" w:rsidRDefault="00DD7439" w:rsidP="00DD7439">
      <w:pPr>
        <w:rPr>
          <w:rFonts w:cstheme="minorHAnsi"/>
        </w:rPr>
      </w:pPr>
      <w:r w:rsidRPr="00DD7439">
        <w:rPr>
          <w:rFonts w:cstheme="minorHAnsi"/>
          <w:noProof/>
        </w:rPr>
        <w:lastRenderedPageBreak/>
        <w:drawing>
          <wp:inline distT="0" distB="0" distL="0" distR="0" wp14:anchorId="0AA66E7C" wp14:editId="47A61C2E">
            <wp:extent cx="4692650" cy="1871144"/>
            <wp:effectExtent l="0" t="0" r="0" b="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rotWithShape="1">
                    <a:blip r:embed="rId21"/>
                    <a:srcRect b="5898"/>
                    <a:stretch/>
                  </pic:blipFill>
                  <pic:spPr bwMode="auto">
                    <a:xfrm>
                      <a:off x="0" y="0"/>
                      <a:ext cx="4781914" cy="1906737"/>
                    </a:xfrm>
                    <a:prstGeom prst="rect">
                      <a:avLst/>
                    </a:prstGeom>
                    <a:ln>
                      <a:noFill/>
                    </a:ln>
                    <a:extLst>
                      <a:ext uri="{53640926-AAD7-44D8-BBD7-CCE9431645EC}">
                        <a14:shadowObscured xmlns:a14="http://schemas.microsoft.com/office/drawing/2010/main"/>
                      </a:ext>
                    </a:extLst>
                  </pic:spPr>
                </pic:pic>
              </a:graphicData>
            </a:graphic>
          </wp:inline>
        </w:drawing>
      </w:r>
    </w:p>
    <w:p w14:paraId="02478AD4" w14:textId="77777777" w:rsidR="00370828" w:rsidRDefault="00370828" w:rsidP="00DD7439">
      <w:pPr>
        <w:rPr>
          <w:rFonts w:cstheme="minorHAnsi"/>
          <w:b/>
          <w:bCs/>
        </w:rPr>
      </w:pPr>
    </w:p>
    <w:p w14:paraId="2216C8A0" w14:textId="77777777" w:rsidR="00370828" w:rsidRDefault="00370828" w:rsidP="00DD7439">
      <w:pPr>
        <w:rPr>
          <w:rFonts w:cstheme="minorHAnsi"/>
          <w:b/>
          <w:bCs/>
        </w:rPr>
      </w:pPr>
    </w:p>
    <w:p w14:paraId="1B4BB570" w14:textId="0DA5861D" w:rsidR="00DD7439" w:rsidRPr="00DD7439" w:rsidRDefault="00DD7439" w:rsidP="00DD7439">
      <w:pPr>
        <w:rPr>
          <w:rFonts w:cstheme="minorHAnsi"/>
          <w:b/>
          <w:bCs/>
        </w:rPr>
      </w:pPr>
      <w:r w:rsidRPr="00DD7439">
        <w:rPr>
          <w:rFonts w:cstheme="minorHAnsi"/>
          <w:b/>
          <w:bCs/>
        </w:rPr>
        <w:t>IBT Process – Incoming Transfer Request</w:t>
      </w:r>
    </w:p>
    <w:p w14:paraId="32B66C45" w14:textId="14DAF17F" w:rsidR="00DD7439" w:rsidRPr="00DD7439" w:rsidRDefault="00DD7439" w:rsidP="00DD7439">
      <w:pPr>
        <w:tabs>
          <w:tab w:val="left" w:pos="1851"/>
        </w:tabs>
        <w:rPr>
          <w:rFonts w:cstheme="minorHAnsi"/>
        </w:rPr>
      </w:pPr>
      <w:r w:rsidRPr="00DD7439">
        <w:rPr>
          <w:rFonts w:cstheme="minorHAnsi"/>
        </w:rPr>
        <w:t>When the receiving branch creates an IBT request, the Tile Purchasing Quantity Selection window pops up and users can enter the number of tiles or sqm they need which is rounded up to cartons.</w:t>
      </w:r>
      <w:r w:rsidR="000E5837">
        <w:rPr>
          <w:rFonts w:cstheme="minorHAnsi"/>
        </w:rPr>
        <w:t xml:space="preserve"> This is correct</w:t>
      </w:r>
      <w:r w:rsidR="007F1AC0">
        <w:rPr>
          <w:rFonts w:cstheme="minorHAnsi"/>
        </w:rPr>
        <w:t>.</w:t>
      </w:r>
    </w:p>
    <w:p w14:paraId="1B645036"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65B4C782" wp14:editId="6356B50B">
            <wp:extent cx="6645910" cy="4325620"/>
            <wp:effectExtent l="0" t="0" r="254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2"/>
                    <a:stretch>
                      <a:fillRect/>
                    </a:stretch>
                  </pic:blipFill>
                  <pic:spPr>
                    <a:xfrm>
                      <a:off x="0" y="0"/>
                      <a:ext cx="6645910" cy="4325620"/>
                    </a:xfrm>
                    <a:prstGeom prst="rect">
                      <a:avLst/>
                    </a:prstGeom>
                  </pic:spPr>
                </pic:pic>
              </a:graphicData>
            </a:graphic>
          </wp:inline>
        </w:drawing>
      </w:r>
    </w:p>
    <w:p w14:paraId="16EFC6E5" w14:textId="3B52F135" w:rsidR="000E5837" w:rsidRPr="00370828" w:rsidRDefault="00DD7439" w:rsidP="00370828">
      <w:pPr>
        <w:tabs>
          <w:tab w:val="left" w:pos="1851"/>
        </w:tabs>
        <w:spacing w:after="160" w:line="259" w:lineRule="auto"/>
        <w:rPr>
          <w:rFonts w:cstheme="minorHAnsi"/>
        </w:rPr>
      </w:pPr>
      <w:r w:rsidRPr="000E5837">
        <w:rPr>
          <w:rFonts w:cstheme="minorHAnsi"/>
          <w:b/>
          <w:bCs/>
        </w:rPr>
        <w:t>Potential bug:</w:t>
      </w:r>
      <w:r w:rsidR="000E5837">
        <w:rPr>
          <w:rFonts w:cstheme="minorHAnsi"/>
          <w:b/>
          <w:bCs/>
        </w:rPr>
        <w:br/>
      </w:r>
      <w:r w:rsidRPr="00DD7439">
        <w:rPr>
          <w:rFonts w:cstheme="minorHAnsi"/>
        </w:rPr>
        <w:t>Note that to round up to cartons, the Rounding Method first needs to be changed from Tile to Carton. So, although the product’s Rounding Method is set up as “Carton” in the Tile Configuration smart part, the product setting seems to be ignored on this screen and it defaults to “Tile”.</w:t>
      </w:r>
    </w:p>
    <w:p w14:paraId="374EDB47" w14:textId="77777777" w:rsidR="000E5837" w:rsidRDefault="000E5837">
      <w:pPr>
        <w:rPr>
          <w:rFonts w:cstheme="minorHAnsi"/>
          <w:b/>
          <w:bCs/>
        </w:rPr>
      </w:pPr>
      <w:r>
        <w:rPr>
          <w:rFonts w:cstheme="minorHAnsi"/>
          <w:b/>
          <w:bCs/>
        </w:rPr>
        <w:br w:type="page"/>
      </w:r>
    </w:p>
    <w:p w14:paraId="728DE266" w14:textId="07ADF2F8" w:rsidR="00DD7439" w:rsidRPr="00DD7439" w:rsidRDefault="00DD7439" w:rsidP="00DD7439">
      <w:pPr>
        <w:rPr>
          <w:rFonts w:cstheme="minorHAnsi"/>
          <w:b/>
          <w:bCs/>
        </w:rPr>
      </w:pPr>
      <w:r w:rsidRPr="00DD7439">
        <w:rPr>
          <w:rFonts w:cstheme="minorHAnsi"/>
          <w:b/>
          <w:bCs/>
        </w:rPr>
        <w:lastRenderedPageBreak/>
        <w:t>IBT Process – Outgoing Transfer Request and Delivery</w:t>
      </w:r>
    </w:p>
    <w:p w14:paraId="48335026" w14:textId="4BDEC8CC" w:rsidR="00DD7439" w:rsidRPr="00DD7439" w:rsidRDefault="00DD7439" w:rsidP="00DD7439">
      <w:pPr>
        <w:tabs>
          <w:tab w:val="left" w:pos="1851"/>
        </w:tabs>
        <w:rPr>
          <w:rFonts w:cstheme="minorHAnsi"/>
          <w:noProof/>
        </w:rPr>
      </w:pPr>
      <w:r w:rsidRPr="00DD7439">
        <w:rPr>
          <w:rFonts w:cstheme="minorHAnsi"/>
        </w:rPr>
        <w:t xml:space="preserve">In the serving branch, the Outgoing Transfer Request </w:t>
      </w:r>
      <w:r w:rsidR="000E5837">
        <w:rPr>
          <w:rFonts w:cstheme="minorHAnsi"/>
        </w:rPr>
        <w:t xml:space="preserve">shows the quantity in sqm not cartons. The unit is not shown by default but users </w:t>
      </w:r>
      <w:r w:rsidRPr="00DD7439">
        <w:rPr>
          <w:rFonts w:cstheme="minorHAnsi"/>
        </w:rPr>
        <w:t xml:space="preserve">can </w:t>
      </w:r>
      <w:r w:rsidR="000E5837">
        <w:rPr>
          <w:rFonts w:cstheme="minorHAnsi"/>
        </w:rPr>
        <w:t>add</w:t>
      </w:r>
      <w:r w:rsidRPr="00DD7439">
        <w:rPr>
          <w:rFonts w:cstheme="minorHAnsi"/>
        </w:rPr>
        <w:t xml:space="preserve"> the field “Product.StockingUnits” to the grid</w:t>
      </w:r>
      <w:r w:rsidRPr="00DD7439">
        <w:rPr>
          <w:rFonts w:cstheme="minorHAnsi"/>
          <w:noProof/>
        </w:rPr>
        <w:t>.</w:t>
      </w:r>
    </w:p>
    <w:p w14:paraId="7396ADA0"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106C59A4" wp14:editId="27B7989C">
            <wp:extent cx="6645910" cy="3357880"/>
            <wp:effectExtent l="0" t="0" r="254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3"/>
                    <a:stretch>
                      <a:fillRect/>
                    </a:stretch>
                  </pic:blipFill>
                  <pic:spPr>
                    <a:xfrm>
                      <a:off x="0" y="0"/>
                      <a:ext cx="6645910" cy="3357880"/>
                    </a:xfrm>
                    <a:prstGeom prst="rect">
                      <a:avLst/>
                    </a:prstGeom>
                  </pic:spPr>
                </pic:pic>
              </a:graphicData>
            </a:graphic>
          </wp:inline>
        </w:drawing>
      </w:r>
    </w:p>
    <w:p w14:paraId="449D3A26" w14:textId="77777777" w:rsidR="00B0737B" w:rsidRDefault="00B0737B" w:rsidP="00B0737B">
      <w:pPr>
        <w:tabs>
          <w:tab w:val="left" w:pos="1851"/>
        </w:tabs>
        <w:rPr>
          <w:rFonts w:cstheme="minorHAnsi"/>
        </w:rPr>
      </w:pPr>
    </w:p>
    <w:p w14:paraId="768FBB92" w14:textId="5F40835B" w:rsidR="00DD7439" w:rsidRPr="00DD7439" w:rsidRDefault="00B0737B" w:rsidP="00DD7439">
      <w:pPr>
        <w:tabs>
          <w:tab w:val="left" w:pos="1851"/>
        </w:tabs>
        <w:rPr>
          <w:rFonts w:cstheme="minorHAnsi"/>
        </w:rPr>
      </w:pPr>
      <w:r w:rsidRPr="00B0737B">
        <w:rPr>
          <w:rFonts w:cstheme="minorHAnsi"/>
          <w:b/>
          <w:bCs/>
        </w:rPr>
        <w:t>Gap:</w:t>
      </w:r>
      <w:r>
        <w:rPr>
          <w:rFonts w:cstheme="minorHAnsi"/>
        </w:rPr>
        <w:br/>
        <w:t>T</w:t>
      </w:r>
      <w:r w:rsidRPr="00DD7439">
        <w:rPr>
          <w:rFonts w:cstheme="minorHAnsi"/>
        </w:rPr>
        <w:t xml:space="preserve">here is a gap when a picking note is created for the outbound request, the same scenario exists as described for </w:t>
      </w:r>
      <w:r>
        <w:rPr>
          <w:rFonts w:cstheme="minorHAnsi"/>
        </w:rPr>
        <w:t xml:space="preserve">a </w:t>
      </w:r>
      <w:r w:rsidRPr="00DD7439">
        <w:rPr>
          <w:rFonts w:cstheme="minorHAnsi"/>
        </w:rPr>
        <w:t xml:space="preserve">sales </w:t>
      </w:r>
      <w:r>
        <w:rPr>
          <w:rFonts w:cstheme="minorHAnsi"/>
        </w:rPr>
        <w:t xml:space="preserve">picking note </w:t>
      </w:r>
      <w:r w:rsidRPr="00DD7439">
        <w:rPr>
          <w:rFonts w:cstheme="minorHAnsi"/>
        </w:rPr>
        <w:t xml:space="preserve">whereby the </w:t>
      </w:r>
      <w:r>
        <w:rPr>
          <w:rFonts w:cstheme="minorHAnsi"/>
        </w:rPr>
        <w:t xml:space="preserve">picking </w:t>
      </w:r>
      <w:r w:rsidRPr="00DD7439">
        <w:rPr>
          <w:rFonts w:cstheme="minorHAnsi"/>
        </w:rPr>
        <w:t>unit cannot be changed. There are also the same issues when allocating the bins/batches as described earlier.</w:t>
      </w:r>
    </w:p>
    <w:p w14:paraId="3A8AB366" w14:textId="12B8EDFC" w:rsidR="00334FB7" w:rsidRPr="00334FB7" w:rsidRDefault="00334FB7" w:rsidP="00DD7439">
      <w:pPr>
        <w:tabs>
          <w:tab w:val="left" w:pos="1851"/>
        </w:tabs>
        <w:rPr>
          <w:rFonts w:cstheme="minorHAnsi"/>
          <w:b/>
          <w:bCs/>
        </w:rPr>
      </w:pPr>
      <w:r w:rsidRPr="00334FB7">
        <w:rPr>
          <w:rFonts w:cstheme="minorHAnsi"/>
          <w:b/>
          <w:bCs/>
        </w:rPr>
        <w:t>Requirement</w:t>
      </w:r>
      <w:r>
        <w:rPr>
          <w:rFonts w:cstheme="minorHAnsi"/>
          <w:b/>
          <w:bCs/>
        </w:rPr>
        <w:t>:</w:t>
      </w:r>
      <w:r>
        <w:rPr>
          <w:rFonts w:cstheme="minorHAnsi"/>
          <w:b/>
          <w:bCs/>
        </w:rPr>
        <w:br/>
      </w:r>
      <w:r>
        <w:rPr>
          <w:rFonts w:cstheme="minorHAnsi"/>
        </w:rPr>
        <w:t xml:space="preserve">The same requirement exists when creating a picking note and </w:t>
      </w:r>
      <w:r w:rsidR="00B0737B">
        <w:rPr>
          <w:rFonts w:cstheme="minorHAnsi"/>
        </w:rPr>
        <w:t xml:space="preserve">when </w:t>
      </w:r>
      <w:r>
        <w:rPr>
          <w:rFonts w:cstheme="minorHAnsi"/>
        </w:rPr>
        <w:t>allocating bins/batches for an IBT as described earlier for a picking note generated from a sales order.</w:t>
      </w:r>
    </w:p>
    <w:p w14:paraId="5E471E4D"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49665CB5" wp14:editId="76FF62E4">
            <wp:extent cx="6645910" cy="1985010"/>
            <wp:effectExtent l="0" t="0" r="2540"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24"/>
                    <a:stretch>
                      <a:fillRect/>
                    </a:stretch>
                  </pic:blipFill>
                  <pic:spPr>
                    <a:xfrm>
                      <a:off x="0" y="0"/>
                      <a:ext cx="6645910" cy="1985010"/>
                    </a:xfrm>
                    <a:prstGeom prst="rect">
                      <a:avLst/>
                    </a:prstGeom>
                  </pic:spPr>
                </pic:pic>
              </a:graphicData>
            </a:graphic>
          </wp:inline>
        </w:drawing>
      </w:r>
    </w:p>
    <w:p w14:paraId="69625F9E" w14:textId="77777777" w:rsidR="00DD7439" w:rsidRPr="00DD7439" w:rsidRDefault="00DD7439" w:rsidP="00DD7439">
      <w:pPr>
        <w:rPr>
          <w:rFonts w:cstheme="minorHAnsi"/>
        </w:rPr>
      </w:pPr>
    </w:p>
    <w:p w14:paraId="1846F9E3" w14:textId="77777777" w:rsidR="00891A70" w:rsidRDefault="00891A70">
      <w:pPr>
        <w:rPr>
          <w:rFonts w:cstheme="minorHAnsi"/>
        </w:rPr>
      </w:pPr>
      <w:r>
        <w:rPr>
          <w:rFonts w:cstheme="minorHAnsi"/>
        </w:rPr>
        <w:br w:type="page"/>
      </w:r>
    </w:p>
    <w:p w14:paraId="7DFB139A" w14:textId="7336CC42" w:rsidR="00DD7439" w:rsidRPr="00DD7439" w:rsidRDefault="00DD7439" w:rsidP="00DD7439">
      <w:pPr>
        <w:tabs>
          <w:tab w:val="left" w:pos="1851"/>
        </w:tabs>
        <w:rPr>
          <w:rFonts w:cstheme="minorHAnsi"/>
        </w:rPr>
      </w:pPr>
      <w:r w:rsidRPr="00DD7439">
        <w:rPr>
          <w:rFonts w:cstheme="minorHAnsi"/>
        </w:rPr>
        <w:lastRenderedPageBreak/>
        <w:t>If an Inter Branch Stock Transfer Delivery Note is created from the Outgoing Transfer Request, upon clicking the “Quantity Delivered“ cell, the Tile Purchasing Quantity Selection window pops up so the user can enter the quantity of cartons which are being delivered. This is as expected.</w:t>
      </w:r>
    </w:p>
    <w:p w14:paraId="242BE7AB" w14:textId="77777777" w:rsidR="00DD7439" w:rsidRPr="00DD7439" w:rsidRDefault="00DD7439" w:rsidP="00DD7439">
      <w:pPr>
        <w:rPr>
          <w:rFonts w:cstheme="minorHAnsi"/>
        </w:rPr>
      </w:pPr>
      <w:r w:rsidRPr="00DD7439">
        <w:rPr>
          <w:rFonts w:cstheme="minorHAnsi"/>
          <w:noProof/>
        </w:rPr>
        <w:drawing>
          <wp:inline distT="0" distB="0" distL="0" distR="0" wp14:anchorId="3E81CE8C" wp14:editId="14DDA54E">
            <wp:extent cx="6645216" cy="4188315"/>
            <wp:effectExtent l="0" t="0" r="381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5"/>
                    <a:stretch>
                      <a:fillRect/>
                    </a:stretch>
                  </pic:blipFill>
                  <pic:spPr>
                    <a:xfrm>
                      <a:off x="0" y="0"/>
                      <a:ext cx="6645216" cy="4188315"/>
                    </a:xfrm>
                    <a:prstGeom prst="rect">
                      <a:avLst/>
                    </a:prstGeom>
                  </pic:spPr>
                </pic:pic>
              </a:graphicData>
            </a:graphic>
          </wp:inline>
        </w:drawing>
      </w:r>
    </w:p>
    <w:p w14:paraId="4363542D" w14:textId="7EAC5C57" w:rsidR="00DD7439" w:rsidRPr="00DD7439" w:rsidRDefault="00334FB7" w:rsidP="00DD7439">
      <w:pPr>
        <w:tabs>
          <w:tab w:val="left" w:pos="1851"/>
        </w:tabs>
        <w:rPr>
          <w:rFonts w:cstheme="minorHAnsi"/>
        </w:rPr>
      </w:pPr>
      <w:r w:rsidRPr="00334FB7">
        <w:rPr>
          <w:rFonts w:cstheme="minorHAnsi"/>
          <w:b/>
          <w:bCs/>
        </w:rPr>
        <w:t>Potential bug:</w:t>
      </w:r>
      <w:r>
        <w:rPr>
          <w:rFonts w:cstheme="minorHAnsi"/>
          <w:b/>
          <w:bCs/>
        </w:rPr>
        <w:br/>
      </w:r>
      <w:r w:rsidR="00DD7439" w:rsidRPr="00DD7439">
        <w:rPr>
          <w:rFonts w:cstheme="minorHAnsi"/>
        </w:rPr>
        <w:t>Again, note that to round up to cartons, the Rounding Method first needs to be changed from Tile to Carton. So, although the product’s Rounding Method is set up as “Carton” in the Tile Configuration smart part, the product setting seems to be ignored on this screen and it defaults to “Tile”.</w:t>
      </w:r>
    </w:p>
    <w:p w14:paraId="54A12002" w14:textId="77777777" w:rsidR="00DD7439" w:rsidRPr="00DD7439" w:rsidRDefault="00DD7439" w:rsidP="00DD7439">
      <w:pPr>
        <w:rPr>
          <w:rFonts w:cstheme="minorHAnsi"/>
        </w:rPr>
      </w:pPr>
    </w:p>
    <w:p w14:paraId="4455C884" w14:textId="77777777" w:rsidR="00DD7439" w:rsidRPr="00DD7439" w:rsidRDefault="00DD7439" w:rsidP="00DD7439">
      <w:pPr>
        <w:rPr>
          <w:rFonts w:cstheme="minorHAnsi"/>
        </w:rPr>
      </w:pPr>
    </w:p>
    <w:p w14:paraId="269DE120" w14:textId="77777777" w:rsidR="00D574AA" w:rsidRDefault="00D574AA">
      <w:pPr>
        <w:rPr>
          <w:rFonts w:cstheme="minorHAnsi"/>
          <w:b/>
          <w:bCs/>
        </w:rPr>
      </w:pPr>
      <w:r>
        <w:rPr>
          <w:rFonts w:cstheme="minorHAnsi"/>
          <w:b/>
          <w:bCs/>
        </w:rPr>
        <w:br w:type="page"/>
      </w:r>
    </w:p>
    <w:p w14:paraId="29FA36FD" w14:textId="5D086880" w:rsidR="00DD7439" w:rsidRPr="00DD7439" w:rsidRDefault="00DD7439" w:rsidP="00DD7439">
      <w:pPr>
        <w:rPr>
          <w:rFonts w:cstheme="minorHAnsi"/>
          <w:b/>
          <w:bCs/>
        </w:rPr>
      </w:pPr>
      <w:r w:rsidRPr="00DD7439">
        <w:rPr>
          <w:rFonts w:cstheme="minorHAnsi"/>
          <w:b/>
          <w:bCs/>
        </w:rPr>
        <w:lastRenderedPageBreak/>
        <w:t>IBT Process – Incoming Transfer Delivery</w:t>
      </w:r>
    </w:p>
    <w:p w14:paraId="5ABCCF1F" w14:textId="77777777" w:rsidR="00D574AA" w:rsidRDefault="00DD7439" w:rsidP="00DD7439">
      <w:pPr>
        <w:tabs>
          <w:tab w:val="left" w:pos="1851"/>
        </w:tabs>
        <w:rPr>
          <w:rFonts w:cstheme="minorHAnsi"/>
        </w:rPr>
      </w:pPr>
      <w:r w:rsidRPr="00DD7439">
        <w:rPr>
          <w:rFonts w:cstheme="minorHAnsi"/>
        </w:rPr>
        <w:t>After the serving branch create</w:t>
      </w:r>
      <w:r w:rsidR="00D574AA">
        <w:rPr>
          <w:rFonts w:cstheme="minorHAnsi"/>
        </w:rPr>
        <w:t>s</w:t>
      </w:r>
      <w:r w:rsidRPr="00DD7439">
        <w:rPr>
          <w:rFonts w:cstheme="minorHAnsi"/>
        </w:rPr>
        <w:t xml:space="preserve"> the outgoing delivery, the receiving branch can accept the Incoming Transfer Delivery. Upon clicking the “Quantity Delivered“ cell, the Tile Purchasing Quantity Selection window pops up so the user can enter the quantity of cartons which are being delivered. This can be changed in case there are less or more cartons, and the area will be updated accordingly. </w:t>
      </w:r>
    </w:p>
    <w:p w14:paraId="7F1C42E0" w14:textId="325AA6C6" w:rsidR="00DD7439" w:rsidRPr="00DD7439" w:rsidRDefault="00DD7439" w:rsidP="00DD7439">
      <w:pPr>
        <w:tabs>
          <w:tab w:val="left" w:pos="1851"/>
        </w:tabs>
        <w:rPr>
          <w:rFonts w:cstheme="minorHAnsi"/>
        </w:rPr>
      </w:pPr>
      <w:r w:rsidRPr="00DD7439">
        <w:rPr>
          <w:rFonts w:cstheme="minorHAnsi"/>
        </w:rPr>
        <w:t>This is as expected.</w:t>
      </w:r>
    </w:p>
    <w:p w14:paraId="7A3E89B3" w14:textId="77777777" w:rsidR="00DD7439" w:rsidRPr="00DD7439" w:rsidRDefault="00DD7439" w:rsidP="00DD7439">
      <w:pPr>
        <w:rPr>
          <w:rFonts w:cstheme="minorHAnsi"/>
        </w:rPr>
      </w:pPr>
      <w:r w:rsidRPr="00DD7439">
        <w:rPr>
          <w:rFonts w:cstheme="minorHAnsi"/>
          <w:noProof/>
        </w:rPr>
        <w:drawing>
          <wp:inline distT="0" distB="0" distL="0" distR="0" wp14:anchorId="161B7003" wp14:editId="35A4F24A">
            <wp:extent cx="6645216" cy="4797968"/>
            <wp:effectExtent l="0" t="0" r="3810" b="317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6"/>
                    <a:stretch>
                      <a:fillRect/>
                    </a:stretch>
                  </pic:blipFill>
                  <pic:spPr>
                    <a:xfrm>
                      <a:off x="0" y="0"/>
                      <a:ext cx="6645216" cy="4797968"/>
                    </a:xfrm>
                    <a:prstGeom prst="rect">
                      <a:avLst/>
                    </a:prstGeom>
                  </pic:spPr>
                </pic:pic>
              </a:graphicData>
            </a:graphic>
          </wp:inline>
        </w:drawing>
      </w:r>
    </w:p>
    <w:p w14:paraId="36C0F12C" w14:textId="77777777" w:rsidR="00D574AA" w:rsidRDefault="00D574AA" w:rsidP="00DD7439">
      <w:pPr>
        <w:tabs>
          <w:tab w:val="left" w:pos="1851"/>
        </w:tabs>
        <w:rPr>
          <w:rFonts w:cstheme="minorHAnsi"/>
        </w:rPr>
      </w:pPr>
    </w:p>
    <w:p w14:paraId="4C35A1D2" w14:textId="0721AF9C" w:rsidR="00DD7439" w:rsidRPr="00DD7439" w:rsidRDefault="00D574AA" w:rsidP="00DD7439">
      <w:pPr>
        <w:tabs>
          <w:tab w:val="left" w:pos="1851"/>
        </w:tabs>
        <w:rPr>
          <w:rFonts w:cstheme="minorHAnsi"/>
        </w:rPr>
      </w:pPr>
      <w:r w:rsidRPr="00334FB7">
        <w:rPr>
          <w:rFonts w:cstheme="minorHAnsi"/>
          <w:b/>
          <w:bCs/>
        </w:rPr>
        <w:t>Potential bug:</w:t>
      </w:r>
      <w:r>
        <w:rPr>
          <w:rFonts w:cstheme="minorHAnsi"/>
          <w:b/>
          <w:bCs/>
        </w:rPr>
        <w:br/>
      </w:r>
      <w:r w:rsidR="00DD7439" w:rsidRPr="00DD7439">
        <w:rPr>
          <w:rFonts w:cstheme="minorHAnsi"/>
        </w:rPr>
        <w:t>Again, note that to round up to cartons, the Rounding Method first needs to be changed from Tile to Carton. So, although the product’s Rounding Method is set up as “Carton” in the Tile Configuration smart part, the product setting seems to be ignored on this screen and it defaults to “Tile”.</w:t>
      </w:r>
    </w:p>
    <w:p w14:paraId="408DD0A0" w14:textId="77777777" w:rsidR="00DD7439" w:rsidRPr="00DD7439" w:rsidRDefault="00DD7439" w:rsidP="00DD7439">
      <w:pPr>
        <w:tabs>
          <w:tab w:val="left" w:pos="1851"/>
        </w:tabs>
        <w:rPr>
          <w:rFonts w:cstheme="minorHAnsi"/>
        </w:rPr>
      </w:pPr>
    </w:p>
    <w:p w14:paraId="1B897413" w14:textId="77777777" w:rsidR="00DD7439" w:rsidRPr="00DD7439" w:rsidRDefault="00DD7439" w:rsidP="00DD7439">
      <w:pPr>
        <w:rPr>
          <w:rFonts w:cstheme="minorHAnsi"/>
        </w:rPr>
      </w:pPr>
      <w:r w:rsidRPr="00DD7439">
        <w:rPr>
          <w:rFonts w:cstheme="minorHAnsi"/>
        </w:rPr>
        <w:br w:type="page"/>
      </w:r>
    </w:p>
    <w:p w14:paraId="0336D09A" w14:textId="10474525" w:rsidR="00DD7439" w:rsidRPr="00DD7439" w:rsidRDefault="00DD7439" w:rsidP="00DD7439">
      <w:pPr>
        <w:tabs>
          <w:tab w:val="left" w:pos="1851"/>
        </w:tabs>
        <w:rPr>
          <w:rFonts w:cstheme="minorHAnsi"/>
          <w:b/>
          <w:bCs/>
        </w:rPr>
      </w:pPr>
      <w:r w:rsidRPr="00DD7439">
        <w:rPr>
          <w:rFonts w:cstheme="minorHAnsi"/>
          <w:b/>
          <w:bCs/>
        </w:rPr>
        <w:lastRenderedPageBreak/>
        <w:t>Purchas</w:t>
      </w:r>
      <w:r w:rsidR="00797B9D">
        <w:rPr>
          <w:rFonts w:cstheme="minorHAnsi"/>
          <w:b/>
          <w:bCs/>
        </w:rPr>
        <w:t>e Requisition and Purchase</w:t>
      </w:r>
      <w:r w:rsidRPr="00DD7439">
        <w:rPr>
          <w:rFonts w:cstheme="minorHAnsi"/>
          <w:b/>
          <w:bCs/>
        </w:rPr>
        <w:t xml:space="preserve"> </w:t>
      </w:r>
      <w:r w:rsidR="00797B9D">
        <w:rPr>
          <w:rFonts w:cstheme="minorHAnsi"/>
          <w:b/>
          <w:bCs/>
        </w:rPr>
        <w:t>Order</w:t>
      </w:r>
    </w:p>
    <w:p w14:paraId="68ED534C" w14:textId="1C32D9E1" w:rsidR="00DD7439" w:rsidRPr="00DD7439" w:rsidRDefault="00DD7439" w:rsidP="00DD7439">
      <w:pPr>
        <w:tabs>
          <w:tab w:val="left" w:pos="1851"/>
        </w:tabs>
        <w:rPr>
          <w:rFonts w:cstheme="minorHAnsi"/>
        </w:rPr>
      </w:pPr>
      <w:r w:rsidRPr="00DD7439">
        <w:rPr>
          <w:rFonts w:cstheme="minorHAnsi"/>
        </w:rPr>
        <w:t>When creating a Purchase Requisition and Purchase Order for a tile product, the user has the option to select the unit in which the tile</w:t>
      </w:r>
      <w:r w:rsidR="00D574AA">
        <w:rPr>
          <w:rFonts w:cstheme="minorHAnsi"/>
        </w:rPr>
        <w:t xml:space="preserve"> is</w:t>
      </w:r>
      <w:r w:rsidRPr="00DD7439">
        <w:rPr>
          <w:rFonts w:cstheme="minorHAnsi"/>
        </w:rPr>
        <w:t xml:space="preserve"> being ordered.</w:t>
      </w:r>
    </w:p>
    <w:p w14:paraId="73A18305"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13EFDA80" wp14:editId="739E1D44">
            <wp:extent cx="6645910" cy="2872105"/>
            <wp:effectExtent l="0" t="0" r="2540" b="444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7"/>
                    <a:stretch>
                      <a:fillRect/>
                    </a:stretch>
                  </pic:blipFill>
                  <pic:spPr>
                    <a:xfrm>
                      <a:off x="0" y="0"/>
                      <a:ext cx="6645910" cy="2872105"/>
                    </a:xfrm>
                    <a:prstGeom prst="rect">
                      <a:avLst/>
                    </a:prstGeom>
                  </pic:spPr>
                </pic:pic>
              </a:graphicData>
            </a:graphic>
          </wp:inline>
        </w:drawing>
      </w:r>
    </w:p>
    <w:p w14:paraId="162C43B1"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13D59F75" wp14:editId="055318C2">
            <wp:extent cx="6645910" cy="3232785"/>
            <wp:effectExtent l="0" t="0" r="2540" b="5715"/>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pic:cNvPicPr/>
                  </pic:nvPicPr>
                  <pic:blipFill>
                    <a:blip r:embed="rId28"/>
                    <a:stretch>
                      <a:fillRect/>
                    </a:stretch>
                  </pic:blipFill>
                  <pic:spPr>
                    <a:xfrm>
                      <a:off x="0" y="0"/>
                      <a:ext cx="6645910" cy="3232785"/>
                    </a:xfrm>
                    <a:prstGeom prst="rect">
                      <a:avLst/>
                    </a:prstGeom>
                  </pic:spPr>
                </pic:pic>
              </a:graphicData>
            </a:graphic>
          </wp:inline>
        </w:drawing>
      </w:r>
    </w:p>
    <w:p w14:paraId="3B2D8DEE" w14:textId="07EA9089" w:rsidR="00DD7439" w:rsidRDefault="00DD7439" w:rsidP="00DD7439">
      <w:pPr>
        <w:tabs>
          <w:tab w:val="left" w:pos="1851"/>
        </w:tabs>
        <w:rPr>
          <w:rFonts w:cstheme="minorHAnsi"/>
        </w:rPr>
      </w:pPr>
    </w:p>
    <w:p w14:paraId="4CB79BA7" w14:textId="3ADB453D" w:rsidR="00797B9D" w:rsidRDefault="00797B9D" w:rsidP="00DD7439">
      <w:pPr>
        <w:tabs>
          <w:tab w:val="left" w:pos="1851"/>
        </w:tabs>
        <w:rPr>
          <w:rFonts w:cstheme="minorHAnsi"/>
        </w:rPr>
      </w:pPr>
    </w:p>
    <w:p w14:paraId="08FBFA66" w14:textId="45C1C83D" w:rsidR="00797B9D" w:rsidRPr="00797B9D" w:rsidRDefault="00797B9D" w:rsidP="00DD7439">
      <w:pPr>
        <w:tabs>
          <w:tab w:val="left" w:pos="1851"/>
        </w:tabs>
        <w:rPr>
          <w:rFonts w:cstheme="minorHAnsi"/>
          <w:b/>
          <w:bCs/>
        </w:rPr>
      </w:pPr>
      <w:r w:rsidRPr="00797B9D">
        <w:rPr>
          <w:rFonts w:cstheme="minorHAnsi"/>
          <w:b/>
          <w:bCs/>
        </w:rPr>
        <w:t>Purchase Delivery Note</w:t>
      </w:r>
    </w:p>
    <w:p w14:paraId="79836C46" w14:textId="0C39F801" w:rsidR="00DD7439" w:rsidRPr="00D574AA" w:rsidRDefault="00DD7439" w:rsidP="00DD7439">
      <w:pPr>
        <w:tabs>
          <w:tab w:val="left" w:pos="1851"/>
        </w:tabs>
        <w:rPr>
          <w:rFonts w:cstheme="minorHAnsi"/>
          <w:b/>
          <w:bCs/>
        </w:rPr>
      </w:pPr>
      <w:r w:rsidRPr="00DD7439">
        <w:rPr>
          <w:rFonts w:cstheme="minorHAnsi"/>
        </w:rPr>
        <w:t>When confirming delivery of the PO, the Purchase Delivery Note</w:t>
      </w:r>
      <w:r w:rsidR="00741490">
        <w:rPr>
          <w:rFonts w:cstheme="minorHAnsi"/>
        </w:rPr>
        <w:t xml:space="preserve"> (PDN)</w:t>
      </w:r>
      <w:r w:rsidRPr="00DD7439">
        <w:rPr>
          <w:rFonts w:cstheme="minorHAnsi"/>
        </w:rPr>
        <w:t xml:space="preserve"> does not allow the user to change the unit. Unlike, a Sales Delivery Note, nothing happens when interacting with the tile line</w:t>
      </w:r>
      <w:r w:rsidR="00D574AA">
        <w:rPr>
          <w:rFonts w:cstheme="minorHAnsi"/>
        </w:rPr>
        <w:t xml:space="preserve"> or clicking the “Received Qty” cell</w:t>
      </w:r>
      <w:r w:rsidRPr="00DD7439">
        <w:rPr>
          <w:rFonts w:cstheme="minorHAnsi"/>
        </w:rPr>
        <w:t>. However, the user can click the button “Tile Quantity-CTL-T” and the Tile Purchasing Quantity Selection window will pop up. The user can enter the quantity received in cartons, tiles or sqm.</w:t>
      </w:r>
      <w:r w:rsidR="00BE4726">
        <w:rPr>
          <w:rFonts w:cstheme="minorHAnsi"/>
        </w:rPr>
        <w:t xml:space="preserve"> Therefore, the system works as expected</w:t>
      </w:r>
      <w:r w:rsidR="00B0737B">
        <w:rPr>
          <w:rFonts w:cstheme="minorHAnsi"/>
        </w:rPr>
        <w:t>.</w:t>
      </w:r>
    </w:p>
    <w:p w14:paraId="6E479A4A" w14:textId="77777777" w:rsidR="00DD7439" w:rsidRPr="00DD7439" w:rsidRDefault="00DD7439" w:rsidP="00DD7439">
      <w:pPr>
        <w:tabs>
          <w:tab w:val="left" w:pos="1851"/>
        </w:tabs>
        <w:rPr>
          <w:rFonts w:cstheme="minorHAnsi"/>
        </w:rPr>
      </w:pPr>
      <w:r w:rsidRPr="00DD7439">
        <w:rPr>
          <w:rFonts w:cstheme="minorHAnsi"/>
          <w:noProof/>
        </w:rPr>
        <w:lastRenderedPageBreak/>
        <w:drawing>
          <wp:inline distT="0" distB="0" distL="0" distR="0" wp14:anchorId="5FE9885E" wp14:editId="1D215957">
            <wp:extent cx="6645910" cy="2095500"/>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9"/>
                    <a:stretch>
                      <a:fillRect/>
                    </a:stretch>
                  </pic:blipFill>
                  <pic:spPr>
                    <a:xfrm>
                      <a:off x="0" y="0"/>
                      <a:ext cx="6645910" cy="2095500"/>
                    </a:xfrm>
                    <a:prstGeom prst="rect">
                      <a:avLst/>
                    </a:prstGeom>
                  </pic:spPr>
                </pic:pic>
              </a:graphicData>
            </a:graphic>
          </wp:inline>
        </w:drawing>
      </w:r>
    </w:p>
    <w:p w14:paraId="5BC329BD"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236D1442" wp14:editId="2AAEDD8D">
            <wp:extent cx="6645910" cy="3752850"/>
            <wp:effectExtent l="0" t="0" r="254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30"/>
                    <a:stretch>
                      <a:fillRect/>
                    </a:stretch>
                  </pic:blipFill>
                  <pic:spPr>
                    <a:xfrm>
                      <a:off x="0" y="0"/>
                      <a:ext cx="6645910" cy="3752850"/>
                    </a:xfrm>
                    <a:prstGeom prst="rect">
                      <a:avLst/>
                    </a:prstGeom>
                  </pic:spPr>
                </pic:pic>
              </a:graphicData>
            </a:graphic>
          </wp:inline>
        </w:drawing>
      </w:r>
      <w:r w:rsidRPr="00DD7439">
        <w:rPr>
          <w:rFonts w:cstheme="minorHAnsi"/>
        </w:rPr>
        <w:t xml:space="preserve"> </w:t>
      </w:r>
    </w:p>
    <w:p w14:paraId="69252BCC" w14:textId="0C736CE7" w:rsidR="00DD7439" w:rsidRDefault="00DD7439" w:rsidP="00DD7439">
      <w:pPr>
        <w:tabs>
          <w:tab w:val="left" w:pos="1851"/>
        </w:tabs>
        <w:rPr>
          <w:rFonts w:cstheme="minorHAnsi"/>
        </w:rPr>
      </w:pPr>
    </w:p>
    <w:p w14:paraId="43258527" w14:textId="6228A76F" w:rsidR="003647EA" w:rsidRPr="003647EA" w:rsidRDefault="003647EA" w:rsidP="00DD7439">
      <w:pPr>
        <w:tabs>
          <w:tab w:val="left" w:pos="1851"/>
        </w:tabs>
        <w:rPr>
          <w:rFonts w:cstheme="minorHAnsi"/>
          <w:b/>
          <w:bCs/>
        </w:rPr>
      </w:pPr>
      <w:r w:rsidRPr="003647EA">
        <w:rPr>
          <w:rFonts w:cstheme="minorHAnsi"/>
          <w:b/>
          <w:bCs/>
        </w:rPr>
        <w:t xml:space="preserve">Purchase Delivery Note </w:t>
      </w:r>
      <w:r>
        <w:rPr>
          <w:rFonts w:cstheme="minorHAnsi"/>
          <w:b/>
          <w:bCs/>
        </w:rPr>
        <w:t>Bin/Batch</w:t>
      </w:r>
      <w:r w:rsidRPr="003647EA">
        <w:rPr>
          <w:rFonts w:cstheme="minorHAnsi"/>
          <w:b/>
          <w:bCs/>
        </w:rPr>
        <w:t xml:space="preserve"> Alloc</w:t>
      </w:r>
      <w:r>
        <w:rPr>
          <w:rFonts w:cstheme="minorHAnsi"/>
          <w:b/>
          <w:bCs/>
        </w:rPr>
        <w:t>a</w:t>
      </w:r>
      <w:r w:rsidRPr="003647EA">
        <w:rPr>
          <w:rFonts w:cstheme="minorHAnsi"/>
          <w:b/>
          <w:bCs/>
        </w:rPr>
        <w:t>tion</w:t>
      </w:r>
    </w:p>
    <w:p w14:paraId="520E1FC7" w14:textId="0AF13270" w:rsidR="00DD7439" w:rsidRPr="003647EA" w:rsidRDefault="003647EA" w:rsidP="00DD7439">
      <w:pPr>
        <w:tabs>
          <w:tab w:val="left" w:pos="1851"/>
        </w:tabs>
        <w:rPr>
          <w:rFonts w:cstheme="minorHAnsi"/>
          <w:b/>
          <w:bCs/>
        </w:rPr>
      </w:pPr>
      <w:r w:rsidRPr="003647EA">
        <w:rPr>
          <w:rFonts w:cstheme="minorHAnsi"/>
          <w:b/>
          <w:bCs/>
        </w:rPr>
        <w:t>Gap:</w:t>
      </w:r>
      <w:r>
        <w:rPr>
          <w:rFonts w:cstheme="minorHAnsi"/>
          <w:b/>
          <w:bCs/>
        </w:rPr>
        <w:br/>
      </w:r>
      <w:r>
        <w:rPr>
          <w:rFonts w:cstheme="minorHAnsi"/>
        </w:rPr>
        <w:t>W</w:t>
      </w:r>
      <w:r w:rsidR="00DD7439" w:rsidRPr="00DD7439">
        <w:rPr>
          <w:rFonts w:cstheme="minorHAnsi"/>
        </w:rPr>
        <w:t xml:space="preserve">hen doing the Batch/Bin Allocation, the unit cannot be changed and the person confirming the received quantity will need to confirm it in the Stocking Unit. </w:t>
      </w:r>
    </w:p>
    <w:p w14:paraId="02E5FA00"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11763F32" wp14:editId="795A9540">
            <wp:extent cx="5340350" cy="1693281"/>
            <wp:effectExtent l="0" t="0" r="0" b="254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1"/>
                    <a:stretch>
                      <a:fillRect/>
                    </a:stretch>
                  </pic:blipFill>
                  <pic:spPr>
                    <a:xfrm>
                      <a:off x="0" y="0"/>
                      <a:ext cx="5363410" cy="1700593"/>
                    </a:xfrm>
                    <a:prstGeom prst="rect">
                      <a:avLst/>
                    </a:prstGeom>
                  </pic:spPr>
                </pic:pic>
              </a:graphicData>
            </a:graphic>
          </wp:inline>
        </w:drawing>
      </w:r>
    </w:p>
    <w:p w14:paraId="151ECBD4" w14:textId="76C6320F" w:rsidR="00BE4726" w:rsidRDefault="00BE4726" w:rsidP="00BE4726">
      <w:pPr>
        <w:rPr>
          <w:rFonts w:cstheme="minorHAnsi"/>
        </w:rPr>
      </w:pPr>
      <w:r w:rsidRPr="000E5837">
        <w:rPr>
          <w:rFonts w:cstheme="minorHAnsi"/>
          <w:b/>
          <w:bCs/>
        </w:rPr>
        <w:lastRenderedPageBreak/>
        <w:t xml:space="preserve">Requirement: </w:t>
      </w:r>
      <w:r>
        <w:rPr>
          <w:rFonts w:cstheme="minorHAnsi"/>
          <w:b/>
          <w:bCs/>
        </w:rPr>
        <w:br/>
      </w:r>
      <w:r>
        <w:rPr>
          <w:rFonts w:cstheme="minorHAnsi"/>
        </w:rPr>
        <w:t>This is the same requirement as when allocating bins/batches on a sales</w:t>
      </w:r>
      <w:r w:rsidR="00797B9D">
        <w:rPr>
          <w:rFonts w:cstheme="minorHAnsi"/>
        </w:rPr>
        <w:t xml:space="preserve"> order or</w:t>
      </w:r>
      <w:r>
        <w:rPr>
          <w:rFonts w:cstheme="minorHAnsi"/>
        </w:rPr>
        <w:t xml:space="preserve"> picking note</w:t>
      </w:r>
      <w:r w:rsidRPr="00DD7439">
        <w:rPr>
          <w:rFonts w:cstheme="minorHAnsi"/>
        </w:rPr>
        <w:t xml:space="preserve">. The quantity allocated from a batch/bin must have the unit shown which the </w:t>
      </w:r>
      <w:r w:rsidR="00797B9D">
        <w:rPr>
          <w:rFonts w:cstheme="minorHAnsi"/>
        </w:rPr>
        <w:t>user</w:t>
      </w:r>
      <w:r w:rsidRPr="00DD7439">
        <w:rPr>
          <w:rFonts w:cstheme="minorHAnsi"/>
        </w:rPr>
        <w:t xml:space="preserve"> can change and the quantity converted correctly.</w:t>
      </w:r>
      <w:r w:rsidR="003647EA">
        <w:rPr>
          <w:rFonts w:cstheme="minorHAnsi"/>
        </w:rPr>
        <w:t xml:space="preserve"> Users should be able to enter the quantity in the unit they select as described earlier.</w:t>
      </w:r>
    </w:p>
    <w:p w14:paraId="4BB48A45" w14:textId="3D422D6C" w:rsidR="00DD7439" w:rsidRPr="00DD7439" w:rsidRDefault="00BE4726" w:rsidP="00DD7439">
      <w:pPr>
        <w:tabs>
          <w:tab w:val="left" w:pos="1851"/>
        </w:tabs>
        <w:rPr>
          <w:rFonts w:cstheme="minorHAnsi"/>
        </w:rPr>
      </w:pPr>
      <w:r>
        <w:rPr>
          <w:rFonts w:cstheme="minorHAnsi"/>
        </w:rPr>
        <w:br/>
      </w:r>
      <w:r w:rsidR="00741490" w:rsidRPr="00741490">
        <w:rPr>
          <w:rFonts w:cstheme="minorHAnsi"/>
          <w:b/>
          <w:bCs/>
        </w:rPr>
        <w:t>Note about units in different screens</w:t>
      </w:r>
      <w:r w:rsidR="00741490">
        <w:rPr>
          <w:rFonts w:cstheme="minorHAnsi"/>
          <w:b/>
          <w:bCs/>
        </w:rPr>
        <w:t>:</w:t>
      </w:r>
      <w:r w:rsidR="00741490">
        <w:rPr>
          <w:rFonts w:cstheme="minorHAnsi"/>
          <w:b/>
          <w:bCs/>
        </w:rPr>
        <w:br/>
      </w:r>
      <w:r w:rsidR="00DD7439" w:rsidRPr="00DD7439">
        <w:rPr>
          <w:rFonts w:cstheme="minorHAnsi"/>
        </w:rPr>
        <w:t>Note that the quantity in th</w:t>
      </w:r>
      <w:r w:rsidR="00741490">
        <w:rPr>
          <w:rFonts w:cstheme="minorHAnsi"/>
        </w:rPr>
        <w:t>e bin/batch allocation</w:t>
      </w:r>
      <w:r w:rsidR="00DD7439" w:rsidRPr="00DD7439">
        <w:rPr>
          <w:rFonts w:cstheme="minorHAnsi"/>
        </w:rPr>
        <w:t xml:space="preserve"> window is not in Purchasing Units. So, if the unit on the PO is Carton, the quantity </w:t>
      </w:r>
      <w:r>
        <w:rPr>
          <w:rFonts w:cstheme="minorHAnsi"/>
        </w:rPr>
        <w:t xml:space="preserve">and unit </w:t>
      </w:r>
      <w:r w:rsidR="00DD7439" w:rsidRPr="00DD7439">
        <w:rPr>
          <w:rFonts w:cstheme="minorHAnsi"/>
        </w:rPr>
        <w:t xml:space="preserve">in the PDN will </w:t>
      </w:r>
      <w:r>
        <w:rPr>
          <w:rFonts w:cstheme="minorHAnsi"/>
        </w:rPr>
        <w:t>match those in the PO (</w:t>
      </w:r>
      <w:r w:rsidR="00DD7439" w:rsidRPr="00DD7439">
        <w:rPr>
          <w:rFonts w:cstheme="minorHAnsi"/>
        </w:rPr>
        <w:t>Carton</w:t>
      </w:r>
      <w:r>
        <w:rPr>
          <w:rFonts w:cstheme="minorHAnsi"/>
        </w:rPr>
        <w:t>)</w:t>
      </w:r>
      <w:r w:rsidR="00DD7439" w:rsidRPr="00DD7439">
        <w:rPr>
          <w:rFonts w:cstheme="minorHAnsi"/>
        </w:rPr>
        <w:t xml:space="preserve"> but the quantity in the Stock Bin Allocation popup will be different as it will be in the Stocking Unit (sqm).</w:t>
      </w:r>
      <w:r>
        <w:rPr>
          <w:rFonts w:cstheme="minorHAnsi"/>
        </w:rPr>
        <w:t xml:space="preserve"> This is shown in the following three screenshots.</w:t>
      </w:r>
    </w:p>
    <w:p w14:paraId="682962B7"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73FEEA8A" wp14:editId="0A67E47C">
            <wp:extent cx="6362700" cy="2377653"/>
            <wp:effectExtent l="0" t="0" r="0" b="381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2"/>
                    <a:stretch>
                      <a:fillRect/>
                    </a:stretch>
                  </pic:blipFill>
                  <pic:spPr>
                    <a:xfrm>
                      <a:off x="0" y="0"/>
                      <a:ext cx="6387563" cy="2386944"/>
                    </a:xfrm>
                    <a:prstGeom prst="rect">
                      <a:avLst/>
                    </a:prstGeom>
                  </pic:spPr>
                </pic:pic>
              </a:graphicData>
            </a:graphic>
          </wp:inline>
        </w:drawing>
      </w:r>
    </w:p>
    <w:p w14:paraId="16BCFBAC" w14:textId="77777777" w:rsidR="00DD7439" w:rsidRPr="00DD7439" w:rsidRDefault="00DD7439" w:rsidP="00DD7439">
      <w:pPr>
        <w:tabs>
          <w:tab w:val="left" w:pos="1851"/>
        </w:tabs>
        <w:rPr>
          <w:rFonts w:cstheme="minorHAnsi"/>
        </w:rPr>
      </w:pPr>
      <w:r w:rsidRPr="00DD7439">
        <w:rPr>
          <w:rFonts w:cstheme="minorHAnsi"/>
          <w:noProof/>
        </w:rPr>
        <w:drawing>
          <wp:inline distT="0" distB="0" distL="0" distR="0" wp14:anchorId="526DAF3C" wp14:editId="278C6272">
            <wp:extent cx="6400800" cy="2290369"/>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33"/>
                    <a:stretch>
                      <a:fillRect/>
                    </a:stretch>
                  </pic:blipFill>
                  <pic:spPr>
                    <a:xfrm>
                      <a:off x="0" y="0"/>
                      <a:ext cx="6417790" cy="2296448"/>
                    </a:xfrm>
                    <a:prstGeom prst="rect">
                      <a:avLst/>
                    </a:prstGeom>
                  </pic:spPr>
                </pic:pic>
              </a:graphicData>
            </a:graphic>
          </wp:inline>
        </w:drawing>
      </w:r>
    </w:p>
    <w:p w14:paraId="53503159" w14:textId="315AC65A" w:rsidR="00DD7439" w:rsidRDefault="00DD7439" w:rsidP="00DD7439">
      <w:pPr>
        <w:tabs>
          <w:tab w:val="left" w:pos="1851"/>
        </w:tabs>
        <w:rPr>
          <w:rFonts w:cstheme="minorHAnsi"/>
        </w:rPr>
      </w:pPr>
      <w:r w:rsidRPr="00DD7439">
        <w:rPr>
          <w:rFonts w:cstheme="minorHAnsi"/>
          <w:noProof/>
        </w:rPr>
        <w:drawing>
          <wp:inline distT="0" distB="0" distL="0" distR="0" wp14:anchorId="76CDB8AA" wp14:editId="585DC175">
            <wp:extent cx="6007100" cy="2046793"/>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34"/>
                    <a:srcRect b="36573"/>
                    <a:stretch/>
                  </pic:blipFill>
                  <pic:spPr bwMode="auto">
                    <a:xfrm>
                      <a:off x="0" y="0"/>
                      <a:ext cx="6024758" cy="2052810"/>
                    </a:xfrm>
                    <a:prstGeom prst="rect">
                      <a:avLst/>
                    </a:prstGeom>
                    <a:ln>
                      <a:noFill/>
                    </a:ln>
                    <a:extLst>
                      <a:ext uri="{53640926-AAD7-44D8-BBD7-CCE9431645EC}">
                        <a14:shadowObscured xmlns:a14="http://schemas.microsoft.com/office/drawing/2010/main"/>
                      </a:ext>
                    </a:extLst>
                  </pic:spPr>
                </pic:pic>
              </a:graphicData>
            </a:graphic>
          </wp:inline>
        </w:drawing>
      </w:r>
    </w:p>
    <w:p w14:paraId="42E4DFC2" w14:textId="23E65B4B" w:rsidR="00741490" w:rsidRDefault="00741490" w:rsidP="00DD7439">
      <w:pPr>
        <w:tabs>
          <w:tab w:val="left" w:pos="1851"/>
        </w:tabs>
        <w:rPr>
          <w:rFonts w:cstheme="minorHAnsi"/>
          <w:b/>
          <w:bCs/>
        </w:rPr>
      </w:pPr>
      <w:r w:rsidRPr="00741490">
        <w:rPr>
          <w:rFonts w:cstheme="minorHAnsi"/>
          <w:b/>
          <w:bCs/>
        </w:rPr>
        <w:lastRenderedPageBreak/>
        <w:t>Purchase Credit Request</w:t>
      </w:r>
    </w:p>
    <w:p w14:paraId="4682075C" w14:textId="76E33620" w:rsidR="00DD7439" w:rsidRDefault="0059752E" w:rsidP="00DD7439">
      <w:pPr>
        <w:tabs>
          <w:tab w:val="left" w:pos="1851"/>
        </w:tabs>
        <w:rPr>
          <w:rFonts w:cstheme="minorHAnsi"/>
        </w:rPr>
      </w:pPr>
      <w:r w:rsidRPr="00D9549B">
        <w:rPr>
          <w:rFonts w:cstheme="minorHAnsi"/>
        </w:rPr>
        <w:t>The</w:t>
      </w:r>
      <w:r w:rsidR="00D9549B">
        <w:rPr>
          <w:rFonts w:cstheme="minorHAnsi"/>
        </w:rPr>
        <w:t xml:space="preserve"> quantity in a Purchase Credit Request is show</w:t>
      </w:r>
      <w:r w:rsidR="00582EE8">
        <w:rPr>
          <w:rFonts w:cstheme="minorHAnsi"/>
        </w:rPr>
        <w:t>n</w:t>
      </w:r>
      <w:r w:rsidR="00D9549B">
        <w:rPr>
          <w:rFonts w:cstheme="minorHAnsi"/>
        </w:rPr>
        <w:t xml:space="preserve"> in</w:t>
      </w:r>
      <w:r w:rsidR="009A6244">
        <w:rPr>
          <w:rFonts w:cstheme="minorHAnsi"/>
        </w:rPr>
        <w:t xml:space="preserve"> the</w:t>
      </w:r>
      <w:r w:rsidR="00D9549B">
        <w:rPr>
          <w:rFonts w:cstheme="minorHAnsi"/>
        </w:rPr>
        <w:t xml:space="preserve"> Purchase Units.</w:t>
      </w:r>
    </w:p>
    <w:p w14:paraId="06B722E0" w14:textId="77777777" w:rsidR="009A6244" w:rsidRPr="00D9549B" w:rsidRDefault="009A6244" w:rsidP="00DD7439">
      <w:pPr>
        <w:tabs>
          <w:tab w:val="left" w:pos="1851"/>
        </w:tabs>
        <w:rPr>
          <w:rFonts w:cstheme="minorHAnsi"/>
        </w:rPr>
      </w:pPr>
    </w:p>
    <w:p w14:paraId="20C9CCA3" w14:textId="6293BF40" w:rsidR="0059752E" w:rsidRDefault="0059752E" w:rsidP="00DD7439">
      <w:pPr>
        <w:tabs>
          <w:tab w:val="left" w:pos="1851"/>
        </w:tabs>
        <w:rPr>
          <w:rFonts w:cstheme="minorHAnsi"/>
        </w:rPr>
      </w:pPr>
      <w:r w:rsidRPr="0059752E">
        <w:rPr>
          <w:rFonts w:cstheme="minorHAnsi"/>
          <w:noProof/>
        </w:rPr>
        <w:drawing>
          <wp:inline distT="0" distB="0" distL="0" distR="0" wp14:anchorId="36D4D0DC" wp14:editId="040EE74F">
            <wp:extent cx="4775759" cy="2051050"/>
            <wp:effectExtent l="0" t="0" r="6350" b="635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5"/>
                    <a:stretch>
                      <a:fillRect/>
                    </a:stretch>
                  </pic:blipFill>
                  <pic:spPr>
                    <a:xfrm>
                      <a:off x="0" y="0"/>
                      <a:ext cx="4799058" cy="2061056"/>
                    </a:xfrm>
                    <a:prstGeom prst="rect">
                      <a:avLst/>
                    </a:prstGeom>
                  </pic:spPr>
                </pic:pic>
              </a:graphicData>
            </a:graphic>
          </wp:inline>
        </w:drawing>
      </w:r>
    </w:p>
    <w:p w14:paraId="29666EF3" w14:textId="7E4FB55A" w:rsidR="009A6244" w:rsidRPr="009A6244" w:rsidRDefault="009A6244" w:rsidP="009A6244">
      <w:pPr>
        <w:tabs>
          <w:tab w:val="left" w:pos="1851"/>
        </w:tabs>
        <w:rPr>
          <w:rFonts w:cstheme="minorHAnsi"/>
        </w:rPr>
      </w:pPr>
      <w:r w:rsidRPr="009A6244">
        <w:rPr>
          <w:rFonts w:cstheme="minorHAnsi"/>
        </w:rPr>
        <w:t>When allocating bin/batch to the tile product, the screen is different from the other batch allocation screens described earlier. There are columns for quantities in different units. When changing the Carton Quantity value, Quantity will also change, and vice-versa.</w:t>
      </w:r>
    </w:p>
    <w:p w14:paraId="441C9CA9" w14:textId="69C9EF6C" w:rsidR="009A6244" w:rsidRDefault="009A6244" w:rsidP="009A6244">
      <w:pPr>
        <w:tabs>
          <w:tab w:val="left" w:pos="1851"/>
        </w:tabs>
        <w:rPr>
          <w:rFonts w:cstheme="minorHAnsi"/>
        </w:rPr>
      </w:pPr>
      <w:r w:rsidRPr="009A6244">
        <w:rPr>
          <w:rFonts w:cstheme="minorHAnsi"/>
        </w:rPr>
        <w:t>When changing Quantity (which is the value in sqm), the other fields will get populated accordingly. For example</w:t>
      </w:r>
      <w:r>
        <w:rPr>
          <w:rFonts w:cstheme="minorHAnsi"/>
        </w:rPr>
        <w:t>,</w:t>
      </w:r>
      <w:r w:rsidRPr="009A6244">
        <w:rPr>
          <w:rFonts w:cstheme="minorHAnsi"/>
        </w:rPr>
        <w:t xml:space="preserve"> </w:t>
      </w:r>
      <w:r>
        <w:rPr>
          <w:rFonts w:cstheme="minorHAnsi"/>
        </w:rPr>
        <w:t>when entering the</w:t>
      </w:r>
      <w:r w:rsidRPr="009A6244">
        <w:rPr>
          <w:rFonts w:cstheme="minorHAnsi"/>
        </w:rPr>
        <w:t xml:space="preserve"> Quantity </w:t>
      </w:r>
      <w:r>
        <w:rPr>
          <w:rFonts w:cstheme="minorHAnsi"/>
        </w:rPr>
        <w:t>of</w:t>
      </w:r>
      <w:r w:rsidRPr="009A6244">
        <w:rPr>
          <w:rFonts w:cstheme="minorHAnsi"/>
        </w:rPr>
        <w:t xml:space="preserve"> 13 (sqm), </w:t>
      </w:r>
      <w:r>
        <w:rPr>
          <w:rFonts w:cstheme="minorHAnsi"/>
        </w:rPr>
        <w:t>the other fields populate a follows:</w:t>
      </w:r>
      <w:r w:rsidRPr="009A6244">
        <w:rPr>
          <w:rFonts w:cstheme="minorHAnsi"/>
        </w:rPr>
        <w:t xml:space="preserve"> 3 </w:t>
      </w:r>
      <w:r>
        <w:rPr>
          <w:rFonts w:cstheme="minorHAnsi"/>
        </w:rPr>
        <w:t>C</w:t>
      </w:r>
      <w:r w:rsidRPr="009A6244">
        <w:rPr>
          <w:rFonts w:cstheme="minorHAnsi"/>
        </w:rPr>
        <w:t xml:space="preserve">artons (3 x 8 tiles = 24 tiles) </w:t>
      </w:r>
      <w:r>
        <w:rPr>
          <w:rFonts w:cstheme="minorHAnsi"/>
        </w:rPr>
        <w:t>and</w:t>
      </w:r>
      <w:r w:rsidRPr="009A6244">
        <w:rPr>
          <w:rFonts w:cstheme="minorHAnsi"/>
        </w:rPr>
        <w:t xml:space="preserve"> 2 </w:t>
      </w:r>
      <w:r>
        <w:rPr>
          <w:rFonts w:cstheme="minorHAnsi"/>
        </w:rPr>
        <w:t>T</w:t>
      </w:r>
      <w:r w:rsidRPr="009A6244">
        <w:rPr>
          <w:rFonts w:cstheme="minorHAnsi"/>
        </w:rPr>
        <w:t>iles</w:t>
      </w:r>
      <w:r>
        <w:rPr>
          <w:rFonts w:cstheme="minorHAnsi"/>
        </w:rPr>
        <w:t xml:space="preserve">. Total of </w:t>
      </w:r>
      <w:r w:rsidRPr="009A6244">
        <w:rPr>
          <w:rFonts w:cstheme="minorHAnsi"/>
        </w:rPr>
        <w:t xml:space="preserve">26 tiles </w:t>
      </w:r>
      <w:r>
        <w:rPr>
          <w:rFonts w:cstheme="minorHAnsi"/>
        </w:rPr>
        <w:t xml:space="preserve">since </w:t>
      </w:r>
      <w:r w:rsidRPr="009A6244">
        <w:rPr>
          <w:rFonts w:cstheme="minorHAnsi"/>
        </w:rPr>
        <w:t>each tile is 0.5 sqm</w:t>
      </w:r>
      <w:r>
        <w:rPr>
          <w:rFonts w:cstheme="minorHAnsi"/>
        </w:rPr>
        <w:t>.</w:t>
      </w:r>
    </w:p>
    <w:p w14:paraId="48EA4F4F" w14:textId="350E1D04" w:rsidR="009A6244" w:rsidRDefault="009A6244" w:rsidP="009A6244">
      <w:pPr>
        <w:tabs>
          <w:tab w:val="left" w:pos="1851"/>
        </w:tabs>
        <w:rPr>
          <w:rFonts w:cstheme="minorHAnsi"/>
        </w:rPr>
      </w:pPr>
      <w:r w:rsidRPr="00AE3F25">
        <w:rPr>
          <w:b/>
          <w:bCs/>
          <w:noProof/>
        </w:rPr>
        <w:drawing>
          <wp:inline distT="0" distB="0" distL="0" distR="0" wp14:anchorId="4B8EAC56" wp14:editId="705CD96D">
            <wp:extent cx="6645910" cy="1844040"/>
            <wp:effectExtent l="0" t="0" r="2540" b="381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6"/>
                    <a:stretch>
                      <a:fillRect/>
                    </a:stretch>
                  </pic:blipFill>
                  <pic:spPr>
                    <a:xfrm>
                      <a:off x="0" y="0"/>
                      <a:ext cx="6645910" cy="1844040"/>
                    </a:xfrm>
                    <a:prstGeom prst="rect">
                      <a:avLst/>
                    </a:prstGeom>
                  </pic:spPr>
                </pic:pic>
              </a:graphicData>
            </a:graphic>
          </wp:inline>
        </w:drawing>
      </w:r>
    </w:p>
    <w:p w14:paraId="797BEF8D" w14:textId="394E32F7" w:rsidR="009A6244" w:rsidRDefault="009A6244" w:rsidP="009A6244">
      <w:pPr>
        <w:tabs>
          <w:tab w:val="left" w:pos="1851"/>
        </w:tabs>
        <w:rPr>
          <w:rFonts w:cstheme="minorHAnsi"/>
        </w:rPr>
      </w:pPr>
      <w:r>
        <w:rPr>
          <w:rFonts w:cstheme="minorHAnsi"/>
        </w:rPr>
        <w:t>This is correct and the same approach could be used to resolve the other issues described earlier.</w:t>
      </w:r>
    </w:p>
    <w:p w14:paraId="39A3B159" w14:textId="57D77E98" w:rsidR="009A6244" w:rsidRDefault="009A6244" w:rsidP="009A6244">
      <w:pPr>
        <w:tabs>
          <w:tab w:val="left" w:pos="1851"/>
        </w:tabs>
        <w:rPr>
          <w:rFonts w:cstheme="minorHAnsi"/>
        </w:rPr>
      </w:pPr>
    </w:p>
    <w:p w14:paraId="01207034" w14:textId="76B2E841" w:rsidR="0050694E" w:rsidRDefault="0050694E">
      <w:pPr>
        <w:rPr>
          <w:rFonts w:cstheme="minorHAnsi"/>
        </w:rPr>
      </w:pPr>
      <w:r>
        <w:rPr>
          <w:rFonts w:cstheme="minorHAnsi"/>
        </w:rPr>
        <w:br w:type="page"/>
      </w:r>
    </w:p>
    <w:p w14:paraId="4884FEB2" w14:textId="5536C982" w:rsidR="009A6244" w:rsidRDefault="0050694E" w:rsidP="009A6244">
      <w:pPr>
        <w:tabs>
          <w:tab w:val="left" w:pos="1851"/>
        </w:tabs>
        <w:rPr>
          <w:rFonts w:cstheme="minorHAnsi"/>
          <w:b/>
          <w:bCs/>
        </w:rPr>
      </w:pPr>
      <w:r w:rsidRPr="00582EE8">
        <w:rPr>
          <w:rFonts w:cstheme="minorHAnsi"/>
          <w:b/>
          <w:bCs/>
        </w:rPr>
        <w:lastRenderedPageBreak/>
        <w:t>Stock Taking</w:t>
      </w:r>
    </w:p>
    <w:p w14:paraId="31DD727E" w14:textId="7663C10D" w:rsidR="00582EE8" w:rsidRDefault="00582EE8" w:rsidP="009A6244">
      <w:pPr>
        <w:tabs>
          <w:tab w:val="left" w:pos="1851"/>
        </w:tabs>
        <w:rPr>
          <w:rFonts w:cstheme="minorHAnsi"/>
        </w:rPr>
      </w:pPr>
      <w:r w:rsidRPr="00D6624D">
        <w:rPr>
          <w:rFonts w:cstheme="minorHAnsi"/>
          <w:b/>
          <w:bCs/>
        </w:rPr>
        <w:t>Gap:</w:t>
      </w:r>
      <w:r w:rsidR="00D6624D">
        <w:rPr>
          <w:rFonts w:cstheme="minorHAnsi"/>
        </w:rPr>
        <w:br/>
        <w:t>When creating a stock take for a tile product and entering the actuals, the quantities shown and entered by the user are all in the stocking unit (sqm).</w:t>
      </w:r>
      <w:r w:rsidR="00C31062">
        <w:rPr>
          <w:rFonts w:cstheme="minorHAnsi"/>
        </w:rPr>
        <w:t xml:space="preserve"> The user cannot enter actuals in another unit.</w:t>
      </w:r>
    </w:p>
    <w:p w14:paraId="05675CAE" w14:textId="1531F659" w:rsidR="00D6624D" w:rsidRPr="00582EE8" w:rsidRDefault="00D6624D" w:rsidP="009A6244">
      <w:pPr>
        <w:tabs>
          <w:tab w:val="left" w:pos="1851"/>
        </w:tabs>
        <w:rPr>
          <w:rFonts w:cstheme="minorHAnsi"/>
        </w:rPr>
      </w:pPr>
      <w:r w:rsidRPr="00D6624D">
        <w:rPr>
          <w:rFonts w:cstheme="minorHAnsi"/>
          <w:noProof/>
        </w:rPr>
        <w:drawing>
          <wp:inline distT="0" distB="0" distL="0" distR="0" wp14:anchorId="38C46D21" wp14:editId="1E6D12F8">
            <wp:extent cx="6645910" cy="3207385"/>
            <wp:effectExtent l="0" t="0" r="254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7"/>
                    <a:stretch>
                      <a:fillRect/>
                    </a:stretch>
                  </pic:blipFill>
                  <pic:spPr>
                    <a:xfrm>
                      <a:off x="0" y="0"/>
                      <a:ext cx="6645910" cy="3207385"/>
                    </a:xfrm>
                    <a:prstGeom prst="rect">
                      <a:avLst/>
                    </a:prstGeom>
                  </pic:spPr>
                </pic:pic>
              </a:graphicData>
            </a:graphic>
          </wp:inline>
        </w:drawing>
      </w:r>
    </w:p>
    <w:p w14:paraId="4C90044F" w14:textId="163A59A3" w:rsidR="0050694E" w:rsidRDefault="00582EE8" w:rsidP="009A6244">
      <w:pPr>
        <w:tabs>
          <w:tab w:val="left" w:pos="1851"/>
        </w:tabs>
        <w:rPr>
          <w:rFonts w:cstheme="minorHAnsi"/>
        </w:rPr>
      </w:pPr>
      <w:r w:rsidRPr="00582EE8">
        <w:rPr>
          <w:rFonts w:cstheme="minorHAnsi"/>
          <w:noProof/>
        </w:rPr>
        <w:drawing>
          <wp:inline distT="0" distB="0" distL="0" distR="0" wp14:anchorId="46829260" wp14:editId="7C80ABCE">
            <wp:extent cx="6645910" cy="1768475"/>
            <wp:effectExtent l="0" t="0" r="2540" b="317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8"/>
                    <a:stretch>
                      <a:fillRect/>
                    </a:stretch>
                  </pic:blipFill>
                  <pic:spPr>
                    <a:xfrm>
                      <a:off x="0" y="0"/>
                      <a:ext cx="6645910" cy="1768475"/>
                    </a:xfrm>
                    <a:prstGeom prst="rect">
                      <a:avLst/>
                    </a:prstGeom>
                  </pic:spPr>
                </pic:pic>
              </a:graphicData>
            </a:graphic>
          </wp:inline>
        </w:drawing>
      </w:r>
    </w:p>
    <w:p w14:paraId="578D8D5C" w14:textId="03272045" w:rsidR="005B019D" w:rsidRDefault="00E360C0" w:rsidP="009A6244">
      <w:pPr>
        <w:tabs>
          <w:tab w:val="left" w:pos="1851"/>
        </w:tabs>
        <w:rPr>
          <w:rFonts w:cstheme="minorHAnsi"/>
          <w:noProof/>
        </w:rPr>
      </w:pPr>
      <w:r w:rsidRPr="00E360C0">
        <w:rPr>
          <w:rFonts w:cstheme="minorHAnsi"/>
          <w:noProof/>
        </w:rPr>
        <w:lastRenderedPageBreak/>
        <w:drawing>
          <wp:inline distT="0" distB="0" distL="0" distR="0" wp14:anchorId="67896639" wp14:editId="032C45F7">
            <wp:extent cx="6645910" cy="3880485"/>
            <wp:effectExtent l="0" t="0" r="2540" b="571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39"/>
                    <a:stretch>
                      <a:fillRect/>
                    </a:stretch>
                  </pic:blipFill>
                  <pic:spPr>
                    <a:xfrm>
                      <a:off x="0" y="0"/>
                      <a:ext cx="6645910" cy="3880485"/>
                    </a:xfrm>
                    <a:prstGeom prst="rect">
                      <a:avLst/>
                    </a:prstGeom>
                  </pic:spPr>
                </pic:pic>
              </a:graphicData>
            </a:graphic>
          </wp:inline>
        </w:drawing>
      </w:r>
    </w:p>
    <w:p w14:paraId="03DE33E5" w14:textId="72668807" w:rsidR="00DA7C12" w:rsidRDefault="00E360C0" w:rsidP="00DA7C12">
      <w:pPr>
        <w:tabs>
          <w:tab w:val="left" w:pos="1851"/>
        </w:tabs>
        <w:rPr>
          <w:rFonts w:cstheme="minorHAnsi"/>
        </w:rPr>
      </w:pPr>
      <w:r>
        <w:rPr>
          <w:rFonts w:cstheme="minorHAnsi"/>
        </w:rPr>
        <w:t xml:space="preserve">Note, however, that when viewing the stock take, the Stock Level column can be added for different tile statistics (e.g. Tile Carton Stocking Statistics, </w:t>
      </w:r>
      <w:r w:rsidR="00422F74">
        <w:rPr>
          <w:rFonts w:cstheme="minorHAnsi"/>
        </w:rPr>
        <w:t xml:space="preserve">Tile </w:t>
      </w:r>
      <w:r w:rsidR="00422F74">
        <w:rPr>
          <w:rFonts w:cstheme="minorHAnsi"/>
        </w:rPr>
        <w:t>Pallet</w:t>
      </w:r>
      <w:r w:rsidR="00422F74">
        <w:rPr>
          <w:rFonts w:cstheme="minorHAnsi"/>
        </w:rPr>
        <w:t xml:space="preserve"> Stocking Statistics</w:t>
      </w:r>
      <w:r w:rsidR="00422F74">
        <w:rPr>
          <w:rFonts w:cstheme="minorHAnsi"/>
        </w:rPr>
        <w:t>) can be added in the window shown in the above screenshot but cannot be edited or entered as actuals anywhere.</w:t>
      </w:r>
    </w:p>
    <w:p w14:paraId="7064729A" w14:textId="3809CB2D" w:rsidR="00422F74" w:rsidRDefault="00422F74" w:rsidP="009A6244">
      <w:pPr>
        <w:tabs>
          <w:tab w:val="left" w:pos="1851"/>
        </w:tabs>
        <w:rPr>
          <w:rFonts w:cstheme="minorHAnsi"/>
        </w:rPr>
      </w:pPr>
      <w:r w:rsidRPr="00422F74">
        <w:rPr>
          <w:rFonts w:cstheme="minorHAnsi"/>
        </w:rPr>
        <w:drawing>
          <wp:inline distT="0" distB="0" distL="0" distR="0" wp14:anchorId="6AC449EC" wp14:editId="47AC2F73">
            <wp:extent cx="2695492" cy="2413759"/>
            <wp:effectExtent l="0" t="0" r="0" b="5715"/>
            <wp:docPr id="19" name="Picture 1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able&#10;&#10;Description automatically generated"/>
                    <pic:cNvPicPr/>
                  </pic:nvPicPr>
                  <pic:blipFill>
                    <a:blip r:embed="rId40"/>
                    <a:stretch>
                      <a:fillRect/>
                    </a:stretch>
                  </pic:blipFill>
                  <pic:spPr>
                    <a:xfrm>
                      <a:off x="0" y="0"/>
                      <a:ext cx="2699690" cy="2417518"/>
                    </a:xfrm>
                    <a:prstGeom prst="rect">
                      <a:avLst/>
                    </a:prstGeom>
                  </pic:spPr>
                </pic:pic>
              </a:graphicData>
            </a:graphic>
          </wp:inline>
        </w:drawing>
      </w:r>
    </w:p>
    <w:p w14:paraId="4028EB1E" w14:textId="77777777" w:rsidR="00E360C0" w:rsidRDefault="00E360C0" w:rsidP="009A6244">
      <w:pPr>
        <w:tabs>
          <w:tab w:val="left" w:pos="1851"/>
        </w:tabs>
        <w:rPr>
          <w:rFonts w:cstheme="minorHAnsi"/>
        </w:rPr>
      </w:pPr>
    </w:p>
    <w:p w14:paraId="79171073" w14:textId="3FFF170C" w:rsidR="00D6624D" w:rsidRDefault="00D6624D" w:rsidP="00D6624D">
      <w:pPr>
        <w:rPr>
          <w:rFonts w:cstheme="minorHAnsi"/>
        </w:rPr>
      </w:pPr>
      <w:r w:rsidRPr="000E5837">
        <w:rPr>
          <w:rFonts w:cstheme="minorHAnsi"/>
          <w:b/>
          <w:bCs/>
        </w:rPr>
        <w:t xml:space="preserve">Requirement: </w:t>
      </w:r>
      <w:r>
        <w:rPr>
          <w:rFonts w:cstheme="minorHAnsi"/>
          <w:b/>
          <w:bCs/>
        </w:rPr>
        <w:br/>
      </w:r>
      <w:r>
        <w:rPr>
          <w:rFonts w:cstheme="minorHAnsi"/>
        </w:rPr>
        <w:t xml:space="preserve">This is the same requirement as when </w:t>
      </w:r>
      <w:r w:rsidR="00C31062">
        <w:rPr>
          <w:rFonts w:cstheme="minorHAnsi"/>
        </w:rPr>
        <w:t xml:space="preserve">entering quantities in a picking note or </w:t>
      </w:r>
      <w:r>
        <w:rPr>
          <w:rFonts w:cstheme="minorHAnsi"/>
        </w:rPr>
        <w:t xml:space="preserve">allocating </w:t>
      </w:r>
      <w:r w:rsidR="00C31062">
        <w:rPr>
          <w:rFonts w:cstheme="minorHAnsi"/>
        </w:rPr>
        <w:t xml:space="preserve">quantities to </w:t>
      </w:r>
      <w:r>
        <w:rPr>
          <w:rFonts w:cstheme="minorHAnsi"/>
        </w:rPr>
        <w:t>bins/batches</w:t>
      </w:r>
      <w:r w:rsidRPr="00DD7439">
        <w:rPr>
          <w:rFonts w:cstheme="minorHAnsi"/>
        </w:rPr>
        <w:t xml:space="preserve">. The </w:t>
      </w:r>
      <w:r w:rsidR="00C31062">
        <w:rPr>
          <w:rFonts w:cstheme="minorHAnsi"/>
        </w:rPr>
        <w:t xml:space="preserve">actual </w:t>
      </w:r>
      <w:r w:rsidRPr="00DD7439">
        <w:rPr>
          <w:rFonts w:cstheme="minorHAnsi"/>
        </w:rPr>
        <w:t xml:space="preserve">quantity </w:t>
      </w:r>
      <w:r w:rsidR="00C31062">
        <w:rPr>
          <w:rFonts w:cstheme="minorHAnsi"/>
        </w:rPr>
        <w:t>entered</w:t>
      </w:r>
      <w:r w:rsidRPr="00DD7439">
        <w:rPr>
          <w:rFonts w:cstheme="minorHAnsi"/>
        </w:rPr>
        <w:t xml:space="preserve"> must have the unit shown which the </w:t>
      </w:r>
      <w:r>
        <w:rPr>
          <w:rFonts w:cstheme="minorHAnsi"/>
        </w:rPr>
        <w:t>user</w:t>
      </w:r>
      <w:r w:rsidRPr="00DD7439">
        <w:rPr>
          <w:rFonts w:cstheme="minorHAnsi"/>
        </w:rPr>
        <w:t xml:space="preserve"> can change and the quantity converted correctly.</w:t>
      </w:r>
      <w:r>
        <w:rPr>
          <w:rFonts w:cstheme="minorHAnsi"/>
        </w:rPr>
        <w:t xml:space="preserve"> Users should be able to enter the quantity in the unit they select as described earlier.</w:t>
      </w:r>
      <w:r w:rsidR="00C31062">
        <w:rPr>
          <w:rFonts w:cstheme="minorHAnsi"/>
        </w:rPr>
        <w:t xml:space="preserve"> The user might enter quantities in more than one unit, for example 5 Pallets, 23 Cartons and 10 Tiles. These would be converted to the stocking unit and summed up. The screen might for this might be similar to the Stock Bin Allocation screen shown earlier for a Purchase Credit Request.</w:t>
      </w:r>
    </w:p>
    <w:p w14:paraId="169E0055" w14:textId="10B04680" w:rsidR="00C31062" w:rsidRDefault="00C31062" w:rsidP="00C31062">
      <w:r>
        <w:t xml:space="preserve">Note that this solution has to be </w:t>
      </w:r>
      <w:r w:rsidR="0050694E">
        <w:t>compatible with</w:t>
      </w:r>
      <w:r>
        <w:t xml:space="preserve"> the following screens</w:t>
      </w:r>
      <w:r w:rsidR="0050694E">
        <w:t>:</w:t>
      </w:r>
    </w:p>
    <w:p w14:paraId="05B8AC4A" w14:textId="076A3846" w:rsidR="00C31062" w:rsidRDefault="0050694E" w:rsidP="00C31062">
      <w:pPr>
        <w:pStyle w:val="ListParagraph"/>
        <w:numPr>
          <w:ilvl w:val="0"/>
          <w:numId w:val="30"/>
        </w:numPr>
      </w:pPr>
      <w:r>
        <w:lastRenderedPageBreak/>
        <w:t xml:space="preserve">Enter Actuals </w:t>
      </w:r>
      <w:r w:rsidR="00C31062">
        <w:t>(iQ)</w:t>
      </w:r>
    </w:p>
    <w:p w14:paraId="742DA6D3" w14:textId="44671B95" w:rsidR="00C31062" w:rsidRDefault="0050694E" w:rsidP="00C31062">
      <w:pPr>
        <w:pStyle w:val="ListParagraph"/>
        <w:numPr>
          <w:ilvl w:val="0"/>
          <w:numId w:val="30"/>
        </w:numPr>
      </w:pPr>
      <w:r>
        <w:t>Import Actuals</w:t>
      </w:r>
      <w:r w:rsidR="00C31062">
        <w:t xml:space="preserve"> (iQ)</w:t>
      </w:r>
    </w:p>
    <w:p w14:paraId="11EBF074" w14:textId="1BACB4D9" w:rsidR="0050694E" w:rsidRDefault="005B019D" w:rsidP="00C31062">
      <w:pPr>
        <w:pStyle w:val="ListParagraph"/>
        <w:numPr>
          <w:ilvl w:val="0"/>
          <w:numId w:val="30"/>
        </w:numPr>
      </w:pPr>
      <w:r>
        <w:t>Mobile Warehouse</w:t>
      </w:r>
    </w:p>
    <w:p w14:paraId="522F3DD1" w14:textId="77777777" w:rsidR="0050694E" w:rsidRDefault="0050694E" w:rsidP="009A6244">
      <w:pPr>
        <w:tabs>
          <w:tab w:val="left" w:pos="1851"/>
        </w:tabs>
        <w:rPr>
          <w:rFonts w:cstheme="minorHAnsi"/>
        </w:rPr>
      </w:pPr>
    </w:p>
    <w:p w14:paraId="611B0150" w14:textId="640E3B18" w:rsidR="009A6244" w:rsidRDefault="009A6244" w:rsidP="009A6244">
      <w:pPr>
        <w:tabs>
          <w:tab w:val="left" w:pos="1851"/>
        </w:tabs>
        <w:rPr>
          <w:rFonts w:cstheme="minorHAnsi"/>
        </w:rPr>
      </w:pPr>
    </w:p>
    <w:p w14:paraId="10FDEA2D" w14:textId="7539B766" w:rsidR="009A6244" w:rsidRDefault="009A6244" w:rsidP="009A6244">
      <w:pPr>
        <w:tabs>
          <w:tab w:val="left" w:pos="1851"/>
        </w:tabs>
        <w:rPr>
          <w:rFonts w:cstheme="minorHAnsi"/>
        </w:rPr>
      </w:pPr>
    </w:p>
    <w:p w14:paraId="3B03CA94" w14:textId="77777777" w:rsidR="009A6244" w:rsidRDefault="009A6244" w:rsidP="009A6244">
      <w:pPr>
        <w:tabs>
          <w:tab w:val="left" w:pos="1851"/>
        </w:tabs>
        <w:rPr>
          <w:rFonts w:cstheme="minorHAnsi"/>
        </w:rPr>
      </w:pPr>
    </w:p>
    <w:p w14:paraId="4F47455B" w14:textId="07AF88C2" w:rsidR="00D9549B" w:rsidRPr="00D9549B" w:rsidRDefault="00D9549B" w:rsidP="00104245">
      <w:pPr>
        <w:pStyle w:val="FeatureText--2021"/>
      </w:pPr>
    </w:p>
    <w:p w14:paraId="2A7EED07" w14:textId="77777777" w:rsidR="009A6244" w:rsidRDefault="009A6244">
      <w:pPr>
        <w:rPr>
          <w:rFonts w:ascii="Mikro Black" w:hAnsi="Mikro Black" w:cstheme="minorHAnsi"/>
          <w:b/>
          <w:color w:val="FFCF01" w:themeColor="accent1"/>
          <w:sz w:val="48"/>
          <w:szCs w:val="54"/>
        </w:rPr>
      </w:pPr>
      <w:r>
        <w:br w:type="page"/>
      </w:r>
    </w:p>
    <w:p w14:paraId="0A8C0B89" w14:textId="13FEA14E" w:rsidR="00D466DF" w:rsidRPr="00CA2125" w:rsidRDefault="00A911DE" w:rsidP="003173C7">
      <w:pPr>
        <w:pStyle w:val="IPageHeading"/>
      </w:pPr>
      <w:r w:rsidRPr="00047BB7">
        <w:lastRenderedPageBreak/>
        <w:t>Acceptance</w:t>
      </w:r>
      <w:r w:rsidRPr="00CA2125">
        <w:t xml:space="preserve"> Criteria </w:t>
      </w:r>
    </w:p>
    <w:p w14:paraId="0510388B" w14:textId="0C19DB06" w:rsidR="001860DD" w:rsidRDefault="001860DD" w:rsidP="001860DD">
      <w:pPr>
        <w:rPr>
          <w:rFonts w:cstheme="minorHAnsi"/>
        </w:rPr>
      </w:pPr>
      <w:r>
        <w:rPr>
          <w:rFonts w:cstheme="minorHAnsi"/>
        </w:rPr>
        <w:t>The screens and process described so far will be used to test this change request. These need to allow to change the tile unit and enter or view the quantities in the selected unit.</w:t>
      </w:r>
    </w:p>
    <w:p w14:paraId="644FC38F" w14:textId="7C0FCBF4" w:rsidR="001860DD" w:rsidRDefault="001860DD" w:rsidP="001860DD">
      <w:pPr>
        <w:rPr>
          <w:rFonts w:cstheme="minorHAnsi"/>
        </w:rPr>
      </w:pPr>
      <w:r>
        <w:rPr>
          <w:rFonts w:cstheme="minorHAnsi"/>
        </w:rPr>
        <w:t>Note that here might be other processes which I am unaware of at this stage which have the same issue and would provide benefit to users if they could change the tile unit and enter or view the quantities in that unit.</w:t>
      </w:r>
    </w:p>
    <w:p w14:paraId="586CEA70" w14:textId="77777777" w:rsidR="00CD1512" w:rsidRDefault="00CD1512" w:rsidP="00AD61DE">
      <w:pPr>
        <w:pStyle w:val="FeatureText--2021"/>
      </w:pPr>
    </w:p>
    <w:p w14:paraId="656AAE91" w14:textId="77777777" w:rsidR="00760B63" w:rsidRDefault="00760B63" w:rsidP="005E4372">
      <w:pPr>
        <w:pStyle w:val="FeatureText--2021"/>
      </w:pPr>
      <w:r>
        <w:t xml:space="preserve"> </w:t>
      </w:r>
    </w:p>
    <w:sectPr w:rsidR="00760B63" w:rsidSect="00892B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302D" w14:textId="77777777" w:rsidR="007768C9" w:rsidRDefault="007768C9" w:rsidP="00F250C9">
      <w:pPr>
        <w:spacing w:after="0" w:line="240" w:lineRule="auto"/>
      </w:pPr>
      <w:r>
        <w:separator/>
      </w:r>
    </w:p>
  </w:endnote>
  <w:endnote w:type="continuationSeparator" w:id="0">
    <w:p w14:paraId="5D48BD79" w14:textId="77777777" w:rsidR="007768C9" w:rsidRDefault="007768C9" w:rsidP="00F25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kro Black">
    <w:altName w:val="Calibri"/>
    <w:panose1 w:val="00000000000000000000"/>
    <w:charset w:val="4D"/>
    <w:family w:val="auto"/>
    <w:notTrueType/>
    <w:pitch w:val="variable"/>
    <w:sig w:usb0="00000207" w:usb1="00000000" w:usb2="00000000" w:usb3="00000000" w:csb0="00000097"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836945"/>
      <w:docPartObj>
        <w:docPartGallery w:val="Page Numbers (Bottom of Page)"/>
        <w:docPartUnique/>
      </w:docPartObj>
    </w:sdtPr>
    <w:sdtEndPr>
      <w:rPr>
        <w:rStyle w:val="PageNumber"/>
      </w:rPr>
    </w:sdtEndPr>
    <w:sdtContent>
      <w:p w14:paraId="33AA4061" w14:textId="77777777" w:rsidR="003173C7" w:rsidRDefault="003173C7" w:rsidP="009657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748A0E" w14:textId="77777777" w:rsidR="003173C7" w:rsidRDefault="003173C7" w:rsidP="003173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5617241"/>
      <w:docPartObj>
        <w:docPartGallery w:val="Page Numbers (Bottom of Page)"/>
        <w:docPartUnique/>
      </w:docPartObj>
    </w:sdtPr>
    <w:sdtEndPr>
      <w:rPr>
        <w:rStyle w:val="PageNumber"/>
        <w:rFonts w:ascii="Roboto" w:hAnsi="Roboto"/>
        <w:sz w:val="18"/>
        <w:szCs w:val="18"/>
      </w:rPr>
    </w:sdtEndPr>
    <w:sdtContent>
      <w:p w14:paraId="0ADC3419" w14:textId="77777777" w:rsidR="003173C7" w:rsidRPr="003173C7" w:rsidRDefault="003173C7" w:rsidP="00965763">
        <w:pPr>
          <w:pStyle w:val="Footer"/>
          <w:framePr w:wrap="none" w:vAnchor="text" w:hAnchor="margin" w:xAlign="right" w:y="1"/>
          <w:rPr>
            <w:rStyle w:val="PageNumber"/>
            <w:rFonts w:ascii="Roboto" w:hAnsi="Roboto"/>
            <w:sz w:val="18"/>
            <w:szCs w:val="18"/>
          </w:rPr>
        </w:pPr>
        <w:r w:rsidRPr="003173C7">
          <w:rPr>
            <w:rStyle w:val="PageNumber"/>
            <w:rFonts w:ascii="Roboto" w:hAnsi="Roboto"/>
            <w:sz w:val="18"/>
            <w:szCs w:val="18"/>
          </w:rPr>
          <w:fldChar w:fldCharType="begin"/>
        </w:r>
        <w:r w:rsidRPr="003173C7">
          <w:rPr>
            <w:rStyle w:val="PageNumber"/>
            <w:rFonts w:ascii="Roboto" w:hAnsi="Roboto"/>
            <w:sz w:val="18"/>
            <w:szCs w:val="18"/>
          </w:rPr>
          <w:instrText xml:space="preserve"> PAGE </w:instrText>
        </w:r>
        <w:r w:rsidRPr="003173C7">
          <w:rPr>
            <w:rStyle w:val="PageNumber"/>
            <w:rFonts w:ascii="Roboto" w:hAnsi="Roboto"/>
            <w:sz w:val="18"/>
            <w:szCs w:val="18"/>
          </w:rPr>
          <w:fldChar w:fldCharType="separate"/>
        </w:r>
        <w:r w:rsidRPr="003173C7">
          <w:rPr>
            <w:rStyle w:val="PageNumber"/>
            <w:rFonts w:ascii="Roboto" w:hAnsi="Roboto"/>
            <w:noProof/>
            <w:sz w:val="18"/>
            <w:szCs w:val="18"/>
          </w:rPr>
          <w:t>1</w:t>
        </w:r>
        <w:r w:rsidRPr="003173C7">
          <w:rPr>
            <w:rStyle w:val="PageNumber"/>
            <w:rFonts w:ascii="Roboto" w:hAnsi="Roboto"/>
            <w:sz w:val="18"/>
            <w:szCs w:val="18"/>
          </w:rPr>
          <w:fldChar w:fldCharType="end"/>
        </w:r>
      </w:p>
    </w:sdtContent>
  </w:sdt>
  <w:p w14:paraId="3CC76745" w14:textId="77777777" w:rsidR="003173C7" w:rsidRDefault="003173C7" w:rsidP="003173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289AB" w14:textId="77777777" w:rsidR="007768C9" w:rsidRDefault="007768C9" w:rsidP="00F250C9">
      <w:pPr>
        <w:spacing w:after="0" w:line="240" w:lineRule="auto"/>
      </w:pPr>
      <w:r>
        <w:separator/>
      </w:r>
    </w:p>
  </w:footnote>
  <w:footnote w:type="continuationSeparator" w:id="0">
    <w:p w14:paraId="0B445A67" w14:textId="77777777" w:rsidR="007768C9" w:rsidRDefault="007768C9" w:rsidP="00F25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2E3"/>
    <w:multiLevelType w:val="hybridMultilevel"/>
    <w:tmpl w:val="78607398"/>
    <w:lvl w:ilvl="0" w:tplc="12E2D6F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79E6E23"/>
    <w:multiLevelType w:val="hybridMultilevel"/>
    <w:tmpl w:val="E89EAF58"/>
    <w:lvl w:ilvl="0" w:tplc="18090001">
      <w:start w:val="1"/>
      <w:numFmt w:val="bullet"/>
      <w:lvlText w:val=""/>
      <w:lvlJc w:val="left"/>
      <w:pPr>
        <w:ind w:left="294"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2" w15:restartNumberingAfterBreak="0">
    <w:nsid w:val="091774F5"/>
    <w:multiLevelType w:val="hybridMultilevel"/>
    <w:tmpl w:val="49ACC1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F4D2B"/>
    <w:multiLevelType w:val="hybridMultilevel"/>
    <w:tmpl w:val="4412CB26"/>
    <w:lvl w:ilvl="0" w:tplc="18090001">
      <w:start w:val="1"/>
      <w:numFmt w:val="bullet"/>
      <w:lvlText w:val=""/>
      <w:lvlJc w:val="left"/>
      <w:pPr>
        <w:ind w:left="436" w:hanging="360"/>
      </w:pPr>
      <w:rPr>
        <w:rFonts w:ascii="Symbol" w:hAnsi="Symbol" w:hint="default"/>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 w15:restartNumberingAfterBreak="0">
    <w:nsid w:val="176C34B2"/>
    <w:multiLevelType w:val="hybridMultilevel"/>
    <w:tmpl w:val="BA280904"/>
    <w:lvl w:ilvl="0" w:tplc="FE3AA55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8B3521F"/>
    <w:multiLevelType w:val="hybridMultilevel"/>
    <w:tmpl w:val="36B2D37C"/>
    <w:lvl w:ilvl="0" w:tplc="6A48A87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9A049B0"/>
    <w:multiLevelType w:val="hybridMultilevel"/>
    <w:tmpl w:val="4426BCCE"/>
    <w:lvl w:ilvl="0" w:tplc="E4D0C0A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1B27695A"/>
    <w:multiLevelType w:val="hybridMultilevel"/>
    <w:tmpl w:val="FBE63F18"/>
    <w:lvl w:ilvl="0" w:tplc="F1D86ECA">
      <w:start w:val="1"/>
      <w:numFmt w:val="bullet"/>
      <w:lvlText w:val=""/>
      <w:lvlJc w:val="left"/>
      <w:pPr>
        <w:tabs>
          <w:tab w:val="num" w:pos="720"/>
        </w:tabs>
        <w:ind w:left="720" w:hanging="360"/>
      </w:pPr>
      <w:rPr>
        <w:rFonts w:ascii="Wingdings 3" w:hAnsi="Wingdings 3" w:hint="default"/>
      </w:rPr>
    </w:lvl>
    <w:lvl w:ilvl="1" w:tplc="B23C545A" w:tentative="1">
      <w:start w:val="1"/>
      <w:numFmt w:val="bullet"/>
      <w:lvlText w:val=""/>
      <w:lvlJc w:val="left"/>
      <w:pPr>
        <w:tabs>
          <w:tab w:val="num" w:pos="1440"/>
        </w:tabs>
        <w:ind w:left="1440" w:hanging="360"/>
      </w:pPr>
      <w:rPr>
        <w:rFonts w:ascii="Wingdings 3" w:hAnsi="Wingdings 3" w:hint="default"/>
      </w:rPr>
    </w:lvl>
    <w:lvl w:ilvl="2" w:tplc="7BC24F74" w:tentative="1">
      <w:start w:val="1"/>
      <w:numFmt w:val="bullet"/>
      <w:lvlText w:val=""/>
      <w:lvlJc w:val="left"/>
      <w:pPr>
        <w:tabs>
          <w:tab w:val="num" w:pos="2160"/>
        </w:tabs>
        <w:ind w:left="2160" w:hanging="360"/>
      </w:pPr>
      <w:rPr>
        <w:rFonts w:ascii="Wingdings 3" w:hAnsi="Wingdings 3" w:hint="default"/>
      </w:rPr>
    </w:lvl>
    <w:lvl w:ilvl="3" w:tplc="99E6A07C" w:tentative="1">
      <w:start w:val="1"/>
      <w:numFmt w:val="bullet"/>
      <w:lvlText w:val=""/>
      <w:lvlJc w:val="left"/>
      <w:pPr>
        <w:tabs>
          <w:tab w:val="num" w:pos="2880"/>
        </w:tabs>
        <w:ind w:left="2880" w:hanging="360"/>
      </w:pPr>
      <w:rPr>
        <w:rFonts w:ascii="Wingdings 3" w:hAnsi="Wingdings 3" w:hint="default"/>
      </w:rPr>
    </w:lvl>
    <w:lvl w:ilvl="4" w:tplc="1F6A7718" w:tentative="1">
      <w:start w:val="1"/>
      <w:numFmt w:val="bullet"/>
      <w:lvlText w:val=""/>
      <w:lvlJc w:val="left"/>
      <w:pPr>
        <w:tabs>
          <w:tab w:val="num" w:pos="3600"/>
        </w:tabs>
        <w:ind w:left="3600" w:hanging="360"/>
      </w:pPr>
      <w:rPr>
        <w:rFonts w:ascii="Wingdings 3" w:hAnsi="Wingdings 3" w:hint="default"/>
      </w:rPr>
    </w:lvl>
    <w:lvl w:ilvl="5" w:tplc="704CA07A" w:tentative="1">
      <w:start w:val="1"/>
      <w:numFmt w:val="bullet"/>
      <w:lvlText w:val=""/>
      <w:lvlJc w:val="left"/>
      <w:pPr>
        <w:tabs>
          <w:tab w:val="num" w:pos="4320"/>
        </w:tabs>
        <w:ind w:left="4320" w:hanging="360"/>
      </w:pPr>
      <w:rPr>
        <w:rFonts w:ascii="Wingdings 3" w:hAnsi="Wingdings 3" w:hint="default"/>
      </w:rPr>
    </w:lvl>
    <w:lvl w:ilvl="6" w:tplc="DA4ACAB4" w:tentative="1">
      <w:start w:val="1"/>
      <w:numFmt w:val="bullet"/>
      <w:lvlText w:val=""/>
      <w:lvlJc w:val="left"/>
      <w:pPr>
        <w:tabs>
          <w:tab w:val="num" w:pos="5040"/>
        </w:tabs>
        <w:ind w:left="5040" w:hanging="360"/>
      </w:pPr>
      <w:rPr>
        <w:rFonts w:ascii="Wingdings 3" w:hAnsi="Wingdings 3" w:hint="default"/>
      </w:rPr>
    </w:lvl>
    <w:lvl w:ilvl="7" w:tplc="F99EBC24" w:tentative="1">
      <w:start w:val="1"/>
      <w:numFmt w:val="bullet"/>
      <w:lvlText w:val=""/>
      <w:lvlJc w:val="left"/>
      <w:pPr>
        <w:tabs>
          <w:tab w:val="num" w:pos="5760"/>
        </w:tabs>
        <w:ind w:left="5760" w:hanging="360"/>
      </w:pPr>
      <w:rPr>
        <w:rFonts w:ascii="Wingdings 3" w:hAnsi="Wingdings 3" w:hint="default"/>
      </w:rPr>
    </w:lvl>
    <w:lvl w:ilvl="8" w:tplc="24FEA75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D4633AF"/>
    <w:multiLevelType w:val="hybridMultilevel"/>
    <w:tmpl w:val="CFE08274"/>
    <w:lvl w:ilvl="0" w:tplc="BA52597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B5A5E5A"/>
    <w:multiLevelType w:val="hybridMultilevel"/>
    <w:tmpl w:val="7EC24C58"/>
    <w:lvl w:ilvl="0" w:tplc="83A266F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BE0620F"/>
    <w:multiLevelType w:val="hybridMultilevel"/>
    <w:tmpl w:val="417A77E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D5C6830"/>
    <w:multiLevelType w:val="hybridMultilevel"/>
    <w:tmpl w:val="11CAE250"/>
    <w:lvl w:ilvl="0" w:tplc="0F0A6BD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2EA35355"/>
    <w:multiLevelType w:val="hybridMultilevel"/>
    <w:tmpl w:val="875EC4FA"/>
    <w:lvl w:ilvl="0" w:tplc="7AA6A94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357D3F62"/>
    <w:multiLevelType w:val="hybridMultilevel"/>
    <w:tmpl w:val="97202724"/>
    <w:lvl w:ilvl="0" w:tplc="EBF847EC">
      <w:start w:val="1"/>
      <w:numFmt w:val="bullet"/>
      <w:lvlText w:val=""/>
      <w:lvlJc w:val="left"/>
      <w:pPr>
        <w:tabs>
          <w:tab w:val="num" w:pos="720"/>
        </w:tabs>
        <w:ind w:left="720" w:hanging="360"/>
      </w:pPr>
      <w:rPr>
        <w:rFonts w:ascii="Wingdings 3" w:hAnsi="Wingdings 3" w:hint="default"/>
      </w:rPr>
    </w:lvl>
    <w:lvl w:ilvl="1" w:tplc="B6E2746A" w:tentative="1">
      <w:start w:val="1"/>
      <w:numFmt w:val="bullet"/>
      <w:lvlText w:val=""/>
      <w:lvlJc w:val="left"/>
      <w:pPr>
        <w:tabs>
          <w:tab w:val="num" w:pos="1440"/>
        </w:tabs>
        <w:ind w:left="1440" w:hanging="360"/>
      </w:pPr>
      <w:rPr>
        <w:rFonts w:ascii="Wingdings 3" w:hAnsi="Wingdings 3" w:hint="default"/>
      </w:rPr>
    </w:lvl>
    <w:lvl w:ilvl="2" w:tplc="954C289A" w:tentative="1">
      <w:start w:val="1"/>
      <w:numFmt w:val="bullet"/>
      <w:lvlText w:val=""/>
      <w:lvlJc w:val="left"/>
      <w:pPr>
        <w:tabs>
          <w:tab w:val="num" w:pos="2160"/>
        </w:tabs>
        <w:ind w:left="2160" w:hanging="360"/>
      </w:pPr>
      <w:rPr>
        <w:rFonts w:ascii="Wingdings 3" w:hAnsi="Wingdings 3" w:hint="default"/>
      </w:rPr>
    </w:lvl>
    <w:lvl w:ilvl="3" w:tplc="F01C0862" w:tentative="1">
      <w:start w:val="1"/>
      <w:numFmt w:val="bullet"/>
      <w:lvlText w:val=""/>
      <w:lvlJc w:val="left"/>
      <w:pPr>
        <w:tabs>
          <w:tab w:val="num" w:pos="2880"/>
        </w:tabs>
        <w:ind w:left="2880" w:hanging="360"/>
      </w:pPr>
      <w:rPr>
        <w:rFonts w:ascii="Wingdings 3" w:hAnsi="Wingdings 3" w:hint="default"/>
      </w:rPr>
    </w:lvl>
    <w:lvl w:ilvl="4" w:tplc="176AC3F6" w:tentative="1">
      <w:start w:val="1"/>
      <w:numFmt w:val="bullet"/>
      <w:lvlText w:val=""/>
      <w:lvlJc w:val="left"/>
      <w:pPr>
        <w:tabs>
          <w:tab w:val="num" w:pos="3600"/>
        </w:tabs>
        <w:ind w:left="3600" w:hanging="360"/>
      </w:pPr>
      <w:rPr>
        <w:rFonts w:ascii="Wingdings 3" w:hAnsi="Wingdings 3" w:hint="default"/>
      </w:rPr>
    </w:lvl>
    <w:lvl w:ilvl="5" w:tplc="3A368C60" w:tentative="1">
      <w:start w:val="1"/>
      <w:numFmt w:val="bullet"/>
      <w:lvlText w:val=""/>
      <w:lvlJc w:val="left"/>
      <w:pPr>
        <w:tabs>
          <w:tab w:val="num" w:pos="4320"/>
        </w:tabs>
        <w:ind w:left="4320" w:hanging="360"/>
      </w:pPr>
      <w:rPr>
        <w:rFonts w:ascii="Wingdings 3" w:hAnsi="Wingdings 3" w:hint="default"/>
      </w:rPr>
    </w:lvl>
    <w:lvl w:ilvl="6" w:tplc="CB342092" w:tentative="1">
      <w:start w:val="1"/>
      <w:numFmt w:val="bullet"/>
      <w:lvlText w:val=""/>
      <w:lvlJc w:val="left"/>
      <w:pPr>
        <w:tabs>
          <w:tab w:val="num" w:pos="5040"/>
        </w:tabs>
        <w:ind w:left="5040" w:hanging="360"/>
      </w:pPr>
      <w:rPr>
        <w:rFonts w:ascii="Wingdings 3" w:hAnsi="Wingdings 3" w:hint="default"/>
      </w:rPr>
    </w:lvl>
    <w:lvl w:ilvl="7" w:tplc="C11CBF88" w:tentative="1">
      <w:start w:val="1"/>
      <w:numFmt w:val="bullet"/>
      <w:lvlText w:val=""/>
      <w:lvlJc w:val="left"/>
      <w:pPr>
        <w:tabs>
          <w:tab w:val="num" w:pos="5760"/>
        </w:tabs>
        <w:ind w:left="5760" w:hanging="360"/>
      </w:pPr>
      <w:rPr>
        <w:rFonts w:ascii="Wingdings 3" w:hAnsi="Wingdings 3" w:hint="default"/>
      </w:rPr>
    </w:lvl>
    <w:lvl w:ilvl="8" w:tplc="553417BC"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7492D0B"/>
    <w:multiLevelType w:val="hybridMultilevel"/>
    <w:tmpl w:val="0F687FC8"/>
    <w:lvl w:ilvl="0" w:tplc="7490256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7771B76"/>
    <w:multiLevelType w:val="hybridMultilevel"/>
    <w:tmpl w:val="9258A650"/>
    <w:lvl w:ilvl="0" w:tplc="F4E20E3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6" w15:restartNumberingAfterBreak="0">
    <w:nsid w:val="38DA42E5"/>
    <w:multiLevelType w:val="hybridMultilevel"/>
    <w:tmpl w:val="19121FCE"/>
    <w:lvl w:ilvl="0" w:tplc="2B62BEB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3E0F0E1D"/>
    <w:multiLevelType w:val="hybridMultilevel"/>
    <w:tmpl w:val="765E60C4"/>
    <w:lvl w:ilvl="0" w:tplc="A7FCE75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42C13831"/>
    <w:multiLevelType w:val="hybridMultilevel"/>
    <w:tmpl w:val="65E43B8E"/>
    <w:lvl w:ilvl="0" w:tplc="9B8E3D0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48116E6C"/>
    <w:multiLevelType w:val="hybridMultilevel"/>
    <w:tmpl w:val="FEE8C4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9F44893"/>
    <w:multiLevelType w:val="hybridMultilevel"/>
    <w:tmpl w:val="D5E8D176"/>
    <w:lvl w:ilvl="0" w:tplc="22C6885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57E47EDD"/>
    <w:multiLevelType w:val="hybridMultilevel"/>
    <w:tmpl w:val="7B7815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8AC7709"/>
    <w:multiLevelType w:val="hybridMultilevel"/>
    <w:tmpl w:val="4000B116"/>
    <w:lvl w:ilvl="0" w:tplc="E9563EB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FF037A3"/>
    <w:multiLevelType w:val="hybridMultilevel"/>
    <w:tmpl w:val="EBA6DF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1426C02"/>
    <w:multiLevelType w:val="hybridMultilevel"/>
    <w:tmpl w:val="B81208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2C453F0"/>
    <w:multiLevelType w:val="hybridMultilevel"/>
    <w:tmpl w:val="265E50B2"/>
    <w:lvl w:ilvl="0" w:tplc="D9D0A06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5204B13"/>
    <w:multiLevelType w:val="hybridMultilevel"/>
    <w:tmpl w:val="DAF80BA4"/>
    <w:lvl w:ilvl="0" w:tplc="EA9612BC">
      <w:start w:val="1"/>
      <w:numFmt w:val="bullet"/>
      <w:lvlText w:val=""/>
      <w:lvlJc w:val="left"/>
      <w:pPr>
        <w:tabs>
          <w:tab w:val="num" w:pos="720"/>
        </w:tabs>
        <w:ind w:left="720" w:hanging="360"/>
      </w:pPr>
      <w:rPr>
        <w:rFonts w:ascii="Wingdings 3" w:hAnsi="Wingdings 3" w:hint="default"/>
      </w:rPr>
    </w:lvl>
    <w:lvl w:ilvl="1" w:tplc="F66649B6" w:tentative="1">
      <w:start w:val="1"/>
      <w:numFmt w:val="bullet"/>
      <w:lvlText w:val=""/>
      <w:lvlJc w:val="left"/>
      <w:pPr>
        <w:tabs>
          <w:tab w:val="num" w:pos="1440"/>
        </w:tabs>
        <w:ind w:left="1440" w:hanging="360"/>
      </w:pPr>
      <w:rPr>
        <w:rFonts w:ascii="Wingdings 3" w:hAnsi="Wingdings 3" w:hint="default"/>
      </w:rPr>
    </w:lvl>
    <w:lvl w:ilvl="2" w:tplc="4604892E" w:tentative="1">
      <w:start w:val="1"/>
      <w:numFmt w:val="bullet"/>
      <w:lvlText w:val=""/>
      <w:lvlJc w:val="left"/>
      <w:pPr>
        <w:tabs>
          <w:tab w:val="num" w:pos="2160"/>
        </w:tabs>
        <w:ind w:left="2160" w:hanging="360"/>
      </w:pPr>
      <w:rPr>
        <w:rFonts w:ascii="Wingdings 3" w:hAnsi="Wingdings 3" w:hint="default"/>
      </w:rPr>
    </w:lvl>
    <w:lvl w:ilvl="3" w:tplc="434C3316" w:tentative="1">
      <w:start w:val="1"/>
      <w:numFmt w:val="bullet"/>
      <w:lvlText w:val=""/>
      <w:lvlJc w:val="left"/>
      <w:pPr>
        <w:tabs>
          <w:tab w:val="num" w:pos="2880"/>
        </w:tabs>
        <w:ind w:left="2880" w:hanging="360"/>
      </w:pPr>
      <w:rPr>
        <w:rFonts w:ascii="Wingdings 3" w:hAnsi="Wingdings 3" w:hint="default"/>
      </w:rPr>
    </w:lvl>
    <w:lvl w:ilvl="4" w:tplc="32EE3030" w:tentative="1">
      <w:start w:val="1"/>
      <w:numFmt w:val="bullet"/>
      <w:lvlText w:val=""/>
      <w:lvlJc w:val="left"/>
      <w:pPr>
        <w:tabs>
          <w:tab w:val="num" w:pos="3600"/>
        </w:tabs>
        <w:ind w:left="3600" w:hanging="360"/>
      </w:pPr>
      <w:rPr>
        <w:rFonts w:ascii="Wingdings 3" w:hAnsi="Wingdings 3" w:hint="default"/>
      </w:rPr>
    </w:lvl>
    <w:lvl w:ilvl="5" w:tplc="28F835E0" w:tentative="1">
      <w:start w:val="1"/>
      <w:numFmt w:val="bullet"/>
      <w:lvlText w:val=""/>
      <w:lvlJc w:val="left"/>
      <w:pPr>
        <w:tabs>
          <w:tab w:val="num" w:pos="4320"/>
        </w:tabs>
        <w:ind w:left="4320" w:hanging="360"/>
      </w:pPr>
      <w:rPr>
        <w:rFonts w:ascii="Wingdings 3" w:hAnsi="Wingdings 3" w:hint="default"/>
      </w:rPr>
    </w:lvl>
    <w:lvl w:ilvl="6" w:tplc="33EAEFCC" w:tentative="1">
      <w:start w:val="1"/>
      <w:numFmt w:val="bullet"/>
      <w:lvlText w:val=""/>
      <w:lvlJc w:val="left"/>
      <w:pPr>
        <w:tabs>
          <w:tab w:val="num" w:pos="5040"/>
        </w:tabs>
        <w:ind w:left="5040" w:hanging="360"/>
      </w:pPr>
      <w:rPr>
        <w:rFonts w:ascii="Wingdings 3" w:hAnsi="Wingdings 3" w:hint="default"/>
      </w:rPr>
    </w:lvl>
    <w:lvl w:ilvl="7" w:tplc="26E81D0A" w:tentative="1">
      <w:start w:val="1"/>
      <w:numFmt w:val="bullet"/>
      <w:lvlText w:val=""/>
      <w:lvlJc w:val="left"/>
      <w:pPr>
        <w:tabs>
          <w:tab w:val="num" w:pos="5760"/>
        </w:tabs>
        <w:ind w:left="5760" w:hanging="360"/>
      </w:pPr>
      <w:rPr>
        <w:rFonts w:ascii="Wingdings 3" w:hAnsi="Wingdings 3" w:hint="default"/>
      </w:rPr>
    </w:lvl>
    <w:lvl w:ilvl="8" w:tplc="6038B202"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E806814"/>
    <w:multiLevelType w:val="hybridMultilevel"/>
    <w:tmpl w:val="05642B4A"/>
    <w:lvl w:ilvl="0" w:tplc="793C74B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F805A2F"/>
    <w:multiLevelType w:val="hybridMultilevel"/>
    <w:tmpl w:val="779614FE"/>
    <w:lvl w:ilvl="0" w:tplc="A95E228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9" w15:restartNumberingAfterBreak="0">
    <w:nsid w:val="753E2064"/>
    <w:multiLevelType w:val="hybridMultilevel"/>
    <w:tmpl w:val="EFDC5500"/>
    <w:lvl w:ilvl="0" w:tplc="8CF647A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542717837">
    <w:abstractNumId w:val="4"/>
  </w:num>
  <w:num w:numId="2" w16cid:durableId="1446581627">
    <w:abstractNumId w:val="14"/>
  </w:num>
  <w:num w:numId="3" w16cid:durableId="150296062">
    <w:abstractNumId w:val="9"/>
  </w:num>
  <w:num w:numId="4" w16cid:durableId="1632781852">
    <w:abstractNumId w:val="22"/>
  </w:num>
  <w:num w:numId="5" w16cid:durableId="1598825959">
    <w:abstractNumId w:val="8"/>
  </w:num>
  <w:num w:numId="6" w16cid:durableId="278417486">
    <w:abstractNumId w:val="27"/>
  </w:num>
  <w:num w:numId="7" w16cid:durableId="1243833825">
    <w:abstractNumId w:val="23"/>
  </w:num>
  <w:num w:numId="8" w16cid:durableId="769206387">
    <w:abstractNumId w:val="20"/>
  </w:num>
  <w:num w:numId="9" w16cid:durableId="1900163993">
    <w:abstractNumId w:val="12"/>
  </w:num>
  <w:num w:numId="10" w16cid:durableId="1983728019">
    <w:abstractNumId w:val="29"/>
  </w:num>
  <w:num w:numId="11" w16cid:durableId="2133546531">
    <w:abstractNumId w:val="5"/>
  </w:num>
  <w:num w:numId="12" w16cid:durableId="2085568193">
    <w:abstractNumId w:val="11"/>
  </w:num>
  <w:num w:numId="13" w16cid:durableId="944382783">
    <w:abstractNumId w:val="25"/>
  </w:num>
  <w:num w:numId="14" w16cid:durableId="819075634">
    <w:abstractNumId w:val="18"/>
  </w:num>
  <w:num w:numId="15" w16cid:durableId="170490334">
    <w:abstractNumId w:val="16"/>
  </w:num>
  <w:num w:numId="16" w16cid:durableId="1105736970">
    <w:abstractNumId w:val="17"/>
  </w:num>
  <w:num w:numId="17" w16cid:durableId="1030492661">
    <w:abstractNumId w:val="6"/>
  </w:num>
  <w:num w:numId="18" w16cid:durableId="777333919">
    <w:abstractNumId w:val="28"/>
  </w:num>
  <w:num w:numId="19" w16cid:durableId="1569340066">
    <w:abstractNumId w:val="15"/>
  </w:num>
  <w:num w:numId="20" w16cid:durableId="1411125308">
    <w:abstractNumId w:val="0"/>
  </w:num>
  <w:num w:numId="21" w16cid:durableId="175466309">
    <w:abstractNumId w:val="2"/>
  </w:num>
  <w:num w:numId="22" w16cid:durableId="207887171">
    <w:abstractNumId w:val="19"/>
  </w:num>
  <w:num w:numId="23" w16cid:durableId="1354695941">
    <w:abstractNumId w:val="10"/>
  </w:num>
  <w:num w:numId="24" w16cid:durableId="1107890935">
    <w:abstractNumId w:val="3"/>
  </w:num>
  <w:num w:numId="25" w16cid:durableId="478153628">
    <w:abstractNumId w:val="13"/>
  </w:num>
  <w:num w:numId="26" w16cid:durableId="1373338786">
    <w:abstractNumId w:val="26"/>
  </w:num>
  <w:num w:numId="27" w16cid:durableId="58017086">
    <w:abstractNumId w:val="7"/>
  </w:num>
  <w:num w:numId="28" w16cid:durableId="1942912097">
    <w:abstractNumId w:val="1"/>
  </w:num>
  <w:num w:numId="29" w16cid:durableId="1265722723">
    <w:abstractNumId w:val="24"/>
  </w:num>
  <w:num w:numId="30" w16cid:durableId="18715288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E8"/>
    <w:rsid w:val="0000529C"/>
    <w:rsid w:val="000216DE"/>
    <w:rsid w:val="00047BB7"/>
    <w:rsid w:val="00087035"/>
    <w:rsid w:val="000E025C"/>
    <w:rsid w:val="000E5837"/>
    <w:rsid w:val="00100365"/>
    <w:rsid w:val="00104245"/>
    <w:rsid w:val="001158B5"/>
    <w:rsid w:val="00122895"/>
    <w:rsid w:val="00131168"/>
    <w:rsid w:val="00154784"/>
    <w:rsid w:val="00183622"/>
    <w:rsid w:val="001860DD"/>
    <w:rsid w:val="001B6384"/>
    <w:rsid w:val="001B7DF1"/>
    <w:rsid w:val="001D4873"/>
    <w:rsid w:val="00210A5B"/>
    <w:rsid w:val="0021278C"/>
    <w:rsid w:val="00231FD6"/>
    <w:rsid w:val="00232B60"/>
    <w:rsid w:val="00264893"/>
    <w:rsid w:val="0026567C"/>
    <w:rsid w:val="002940F5"/>
    <w:rsid w:val="002C345E"/>
    <w:rsid w:val="002E1F0C"/>
    <w:rsid w:val="002E5EA3"/>
    <w:rsid w:val="002F7C62"/>
    <w:rsid w:val="003173C7"/>
    <w:rsid w:val="00326CCC"/>
    <w:rsid w:val="00333347"/>
    <w:rsid w:val="00334FB7"/>
    <w:rsid w:val="00342C76"/>
    <w:rsid w:val="00345663"/>
    <w:rsid w:val="00354976"/>
    <w:rsid w:val="003647EA"/>
    <w:rsid w:val="00370828"/>
    <w:rsid w:val="00390CF3"/>
    <w:rsid w:val="003D0CE4"/>
    <w:rsid w:val="003E3DB2"/>
    <w:rsid w:val="003E7442"/>
    <w:rsid w:val="003F00B1"/>
    <w:rsid w:val="003F5270"/>
    <w:rsid w:val="00413D57"/>
    <w:rsid w:val="00422F74"/>
    <w:rsid w:val="00430410"/>
    <w:rsid w:val="0043615A"/>
    <w:rsid w:val="00455C37"/>
    <w:rsid w:val="004A2BFC"/>
    <w:rsid w:val="004E45F8"/>
    <w:rsid w:val="0050694E"/>
    <w:rsid w:val="0052652E"/>
    <w:rsid w:val="00536EA1"/>
    <w:rsid w:val="005379F2"/>
    <w:rsid w:val="0055227C"/>
    <w:rsid w:val="0057339A"/>
    <w:rsid w:val="00582EE8"/>
    <w:rsid w:val="00587DC2"/>
    <w:rsid w:val="0059752E"/>
    <w:rsid w:val="005B019D"/>
    <w:rsid w:val="005B3C9E"/>
    <w:rsid w:val="005D3085"/>
    <w:rsid w:val="005E3A50"/>
    <w:rsid w:val="005E4372"/>
    <w:rsid w:val="005F3B72"/>
    <w:rsid w:val="006874CB"/>
    <w:rsid w:val="006A1C8C"/>
    <w:rsid w:val="006A33B5"/>
    <w:rsid w:val="006C4117"/>
    <w:rsid w:val="006D4092"/>
    <w:rsid w:val="006E5912"/>
    <w:rsid w:val="00741490"/>
    <w:rsid w:val="0075487A"/>
    <w:rsid w:val="00760B63"/>
    <w:rsid w:val="007768C9"/>
    <w:rsid w:val="00784989"/>
    <w:rsid w:val="00797B9D"/>
    <w:rsid w:val="007F1AC0"/>
    <w:rsid w:val="007F20AB"/>
    <w:rsid w:val="00801E22"/>
    <w:rsid w:val="00807C42"/>
    <w:rsid w:val="008156BC"/>
    <w:rsid w:val="00850C28"/>
    <w:rsid w:val="008600A2"/>
    <w:rsid w:val="0086457A"/>
    <w:rsid w:val="008753B4"/>
    <w:rsid w:val="00891A70"/>
    <w:rsid w:val="00892B56"/>
    <w:rsid w:val="008B64B4"/>
    <w:rsid w:val="008E7A35"/>
    <w:rsid w:val="008F6BA3"/>
    <w:rsid w:val="008F773F"/>
    <w:rsid w:val="00924F84"/>
    <w:rsid w:val="009276C3"/>
    <w:rsid w:val="009513A1"/>
    <w:rsid w:val="00963CF5"/>
    <w:rsid w:val="00965D81"/>
    <w:rsid w:val="00984F29"/>
    <w:rsid w:val="009855C1"/>
    <w:rsid w:val="009A33A5"/>
    <w:rsid w:val="009A6244"/>
    <w:rsid w:val="009B0432"/>
    <w:rsid w:val="009B1C5E"/>
    <w:rsid w:val="009F43E8"/>
    <w:rsid w:val="00A15D8F"/>
    <w:rsid w:val="00A37874"/>
    <w:rsid w:val="00A630FE"/>
    <w:rsid w:val="00A652DA"/>
    <w:rsid w:val="00A87989"/>
    <w:rsid w:val="00A90367"/>
    <w:rsid w:val="00A911DE"/>
    <w:rsid w:val="00A932C9"/>
    <w:rsid w:val="00AA5025"/>
    <w:rsid w:val="00AD61DE"/>
    <w:rsid w:val="00AE3F25"/>
    <w:rsid w:val="00B0737B"/>
    <w:rsid w:val="00B22FE3"/>
    <w:rsid w:val="00B269F5"/>
    <w:rsid w:val="00B4031A"/>
    <w:rsid w:val="00B41C19"/>
    <w:rsid w:val="00B44694"/>
    <w:rsid w:val="00B74E98"/>
    <w:rsid w:val="00B8666F"/>
    <w:rsid w:val="00B92B25"/>
    <w:rsid w:val="00BA0CE9"/>
    <w:rsid w:val="00BA1E14"/>
    <w:rsid w:val="00BA7064"/>
    <w:rsid w:val="00BC4907"/>
    <w:rsid w:val="00BC7743"/>
    <w:rsid w:val="00BE4726"/>
    <w:rsid w:val="00C160C9"/>
    <w:rsid w:val="00C31062"/>
    <w:rsid w:val="00C31CAA"/>
    <w:rsid w:val="00C55912"/>
    <w:rsid w:val="00C63BCE"/>
    <w:rsid w:val="00CA2125"/>
    <w:rsid w:val="00CD1512"/>
    <w:rsid w:val="00D007A3"/>
    <w:rsid w:val="00D1592A"/>
    <w:rsid w:val="00D17752"/>
    <w:rsid w:val="00D40154"/>
    <w:rsid w:val="00D4361C"/>
    <w:rsid w:val="00D466DF"/>
    <w:rsid w:val="00D5163A"/>
    <w:rsid w:val="00D574AA"/>
    <w:rsid w:val="00D6624D"/>
    <w:rsid w:val="00D95318"/>
    <w:rsid w:val="00D9549B"/>
    <w:rsid w:val="00DA688C"/>
    <w:rsid w:val="00DA7C12"/>
    <w:rsid w:val="00DB13FB"/>
    <w:rsid w:val="00DB1F33"/>
    <w:rsid w:val="00DC0847"/>
    <w:rsid w:val="00DD7439"/>
    <w:rsid w:val="00DE1529"/>
    <w:rsid w:val="00E360C0"/>
    <w:rsid w:val="00E36F67"/>
    <w:rsid w:val="00E62967"/>
    <w:rsid w:val="00E812B7"/>
    <w:rsid w:val="00EA0BAA"/>
    <w:rsid w:val="00EA5190"/>
    <w:rsid w:val="00EA7371"/>
    <w:rsid w:val="00EE55BA"/>
    <w:rsid w:val="00EF3473"/>
    <w:rsid w:val="00F04C37"/>
    <w:rsid w:val="00F169D8"/>
    <w:rsid w:val="00F250C9"/>
    <w:rsid w:val="00F47029"/>
    <w:rsid w:val="00F65D37"/>
    <w:rsid w:val="00FD474A"/>
    <w:rsid w:val="00FF61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15A3F"/>
  <w15:chartTrackingRefBased/>
  <w15:docId w15:val="{C9BB0F92-9429-4ACB-881A-7442B1DA2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DO NOT USE"/>
    <w:qFormat/>
    <w:rsid w:val="001860DD"/>
    <w:rPr>
      <w:sz w:val="24"/>
    </w:rPr>
  </w:style>
  <w:style w:type="paragraph" w:styleId="Heading1">
    <w:name w:val="heading 1"/>
    <w:basedOn w:val="Normal"/>
    <w:next w:val="Normal"/>
    <w:link w:val="Heading1Char"/>
    <w:uiPriority w:val="9"/>
    <w:qFormat/>
    <w:rsid w:val="00430410"/>
    <w:pPr>
      <w:keepNext/>
      <w:keepLines/>
      <w:spacing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30410"/>
    <w:pPr>
      <w:keepNext/>
      <w:keepLines/>
      <w:spacing w:before="80" w:after="0"/>
      <w:ind w:left="72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410"/>
    <w:rPr>
      <w:rFonts w:ascii="Arial Narrow" w:eastAsiaTheme="majorEastAsia" w:hAnsi="Arial Narrow" w:cstheme="majorBidi"/>
      <w:b/>
      <w:bCs/>
      <w:sz w:val="28"/>
      <w:szCs w:val="28"/>
    </w:rPr>
  </w:style>
  <w:style w:type="character" w:customStyle="1" w:styleId="Heading2Char">
    <w:name w:val="Heading 2 Char"/>
    <w:basedOn w:val="DefaultParagraphFont"/>
    <w:link w:val="Heading2"/>
    <w:uiPriority w:val="9"/>
    <w:rsid w:val="00430410"/>
    <w:rPr>
      <w:rFonts w:ascii="Arial Narrow" w:eastAsiaTheme="majorEastAsia" w:hAnsi="Arial Narrow" w:cstheme="majorBidi"/>
      <w:b/>
      <w:bCs/>
      <w:sz w:val="26"/>
      <w:szCs w:val="26"/>
    </w:rPr>
  </w:style>
  <w:style w:type="paragraph" w:styleId="NoSpacing">
    <w:name w:val="No Spacing"/>
    <w:uiPriority w:val="1"/>
    <w:qFormat/>
    <w:rsid w:val="00430410"/>
    <w:pPr>
      <w:spacing w:after="0" w:line="240" w:lineRule="auto"/>
    </w:pPr>
    <w:rPr>
      <w:rFonts w:ascii="Arial Narrow" w:hAnsi="Arial Narrow"/>
      <w:sz w:val="24"/>
    </w:rPr>
  </w:style>
  <w:style w:type="paragraph" w:styleId="ListParagraph">
    <w:name w:val="List Paragraph"/>
    <w:basedOn w:val="Normal"/>
    <w:uiPriority w:val="34"/>
    <w:qFormat/>
    <w:rsid w:val="00430410"/>
    <w:pPr>
      <w:ind w:left="720"/>
      <w:contextualSpacing/>
    </w:pPr>
  </w:style>
  <w:style w:type="paragraph" w:styleId="TOCHeading">
    <w:name w:val="TOC Heading"/>
    <w:basedOn w:val="Heading1"/>
    <w:next w:val="Normal"/>
    <w:uiPriority w:val="39"/>
    <w:unhideWhenUsed/>
    <w:qFormat/>
    <w:rsid w:val="00430410"/>
    <w:pPr>
      <w:outlineLvl w:val="9"/>
    </w:pPr>
    <w:rPr>
      <w:rFonts w:asciiTheme="majorHAnsi" w:hAnsiTheme="majorHAnsi"/>
      <w:lang w:val="en-US" w:eastAsia="ja-JP"/>
    </w:rPr>
  </w:style>
  <w:style w:type="paragraph" w:styleId="Header">
    <w:name w:val="header"/>
    <w:basedOn w:val="Normal"/>
    <w:link w:val="HeaderChar"/>
    <w:uiPriority w:val="99"/>
    <w:unhideWhenUsed/>
    <w:rsid w:val="00F25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0C9"/>
    <w:rPr>
      <w:rFonts w:ascii="Arial Narrow" w:hAnsi="Arial Narrow"/>
      <w:sz w:val="24"/>
    </w:rPr>
  </w:style>
  <w:style w:type="paragraph" w:styleId="Footer">
    <w:name w:val="footer"/>
    <w:basedOn w:val="Normal"/>
    <w:link w:val="FooterChar"/>
    <w:uiPriority w:val="99"/>
    <w:unhideWhenUsed/>
    <w:rsid w:val="00F25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0C9"/>
    <w:rPr>
      <w:rFonts w:ascii="Arial Narrow" w:hAnsi="Arial Narrow"/>
      <w:sz w:val="24"/>
    </w:rPr>
  </w:style>
  <w:style w:type="paragraph" w:customStyle="1" w:styleId="IPageHeading">
    <w:name w:val="I_Page Heading"/>
    <w:basedOn w:val="Normal"/>
    <w:next w:val="FeatureText--2021"/>
    <w:autoRedefine/>
    <w:qFormat/>
    <w:rsid w:val="003173C7"/>
    <w:pPr>
      <w:spacing w:after="160" w:line="259" w:lineRule="auto"/>
      <w:jc w:val="center"/>
    </w:pPr>
    <w:rPr>
      <w:rFonts w:ascii="Mikro Black" w:hAnsi="Mikro Black" w:cstheme="minorHAnsi"/>
      <w:b/>
      <w:color w:val="FFCF01" w:themeColor="accent1"/>
      <w:sz w:val="48"/>
      <w:szCs w:val="54"/>
    </w:rPr>
  </w:style>
  <w:style w:type="paragraph" w:styleId="TOC1">
    <w:name w:val="toc 1"/>
    <w:aliases w:val="I_TOC 1"/>
    <w:basedOn w:val="Normal"/>
    <w:next w:val="Normal"/>
    <w:autoRedefine/>
    <w:uiPriority w:val="39"/>
    <w:unhideWhenUsed/>
    <w:rsid w:val="00333347"/>
    <w:pPr>
      <w:tabs>
        <w:tab w:val="right" w:pos="6651"/>
      </w:tabs>
      <w:spacing w:after="100" w:line="259" w:lineRule="auto"/>
    </w:pPr>
    <w:rPr>
      <w:color w:val="333E48" w:themeColor="text2"/>
      <w:sz w:val="20"/>
    </w:rPr>
  </w:style>
  <w:style w:type="paragraph" w:styleId="TOC2">
    <w:name w:val="toc 2"/>
    <w:aliases w:val="I_TOC 2"/>
    <w:basedOn w:val="Normal"/>
    <w:next w:val="Normal"/>
    <w:autoRedefine/>
    <w:uiPriority w:val="39"/>
    <w:unhideWhenUsed/>
    <w:rsid w:val="00F250C9"/>
    <w:pPr>
      <w:spacing w:after="100" w:line="259" w:lineRule="auto"/>
      <w:ind w:left="220"/>
    </w:pPr>
    <w:rPr>
      <w:color w:val="333E48" w:themeColor="text2"/>
      <w:sz w:val="20"/>
    </w:rPr>
  </w:style>
  <w:style w:type="paragraph" w:styleId="Subtitle">
    <w:name w:val="Subtitle"/>
    <w:next w:val="Normal"/>
    <w:link w:val="SubtitleChar"/>
    <w:uiPriority w:val="11"/>
    <w:qFormat/>
    <w:rsid w:val="00EA7371"/>
    <w:pPr>
      <w:numPr>
        <w:ilvl w:val="1"/>
      </w:numPr>
      <w:spacing w:after="160"/>
    </w:pPr>
    <w:rPr>
      <w:rFonts w:eastAsiaTheme="minorEastAsia" w:cstheme="minorHAnsi"/>
      <w:color w:val="5B7F95"/>
      <w:spacing w:val="15"/>
      <w:sz w:val="32"/>
      <w:szCs w:val="19"/>
    </w:rPr>
  </w:style>
  <w:style w:type="character" w:customStyle="1" w:styleId="SubtitleChar">
    <w:name w:val="Subtitle Char"/>
    <w:basedOn w:val="DefaultParagraphFont"/>
    <w:link w:val="Subtitle"/>
    <w:uiPriority w:val="11"/>
    <w:rsid w:val="00EA7371"/>
    <w:rPr>
      <w:rFonts w:eastAsiaTheme="minorEastAsia" w:cstheme="minorHAnsi"/>
      <w:color w:val="5B7F95"/>
      <w:spacing w:val="15"/>
      <w:sz w:val="32"/>
      <w:szCs w:val="19"/>
    </w:rPr>
  </w:style>
  <w:style w:type="table" w:styleId="TableGridLight">
    <w:name w:val="Grid Table Light"/>
    <w:basedOn w:val="TableNormal"/>
    <w:uiPriority w:val="40"/>
    <w:rsid w:val="00A652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850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atureText--2021">
    <w:name w:val="Feature Text -- 2021"/>
    <w:basedOn w:val="Normal"/>
    <w:qFormat/>
    <w:rsid w:val="00CD1512"/>
    <w:pPr>
      <w:spacing w:after="0" w:line="240" w:lineRule="auto"/>
    </w:pPr>
    <w:rPr>
      <w:rFonts w:ascii="Calibri" w:hAnsi="Calibri"/>
      <w:szCs w:val="24"/>
    </w:rPr>
  </w:style>
  <w:style w:type="paragraph" w:styleId="TOC7">
    <w:name w:val="toc 7"/>
    <w:basedOn w:val="Normal"/>
    <w:next w:val="Normal"/>
    <w:autoRedefine/>
    <w:uiPriority w:val="39"/>
    <w:semiHidden/>
    <w:unhideWhenUsed/>
    <w:rsid w:val="00963CF5"/>
    <w:pPr>
      <w:spacing w:after="100"/>
      <w:ind w:left="1440"/>
    </w:pPr>
  </w:style>
  <w:style w:type="character" w:styleId="PageNumber">
    <w:name w:val="page number"/>
    <w:basedOn w:val="DefaultParagraphFont"/>
    <w:uiPriority w:val="99"/>
    <w:semiHidden/>
    <w:unhideWhenUsed/>
    <w:rsid w:val="00317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3062">
      <w:bodyDiv w:val="1"/>
      <w:marLeft w:val="0"/>
      <w:marRight w:val="0"/>
      <w:marTop w:val="0"/>
      <w:marBottom w:val="0"/>
      <w:divBdr>
        <w:top w:val="none" w:sz="0" w:space="0" w:color="auto"/>
        <w:left w:val="none" w:sz="0" w:space="0" w:color="auto"/>
        <w:bottom w:val="none" w:sz="0" w:space="0" w:color="auto"/>
        <w:right w:val="none" w:sz="0" w:space="0" w:color="auto"/>
      </w:divBdr>
      <w:divsChild>
        <w:div w:id="1148670041">
          <w:marLeft w:val="0"/>
          <w:marRight w:val="0"/>
          <w:marTop w:val="0"/>
          <w:marBottom w:val="0"/>
          <w:divBdr>
            <w:top w:val="none" w:sz="0" w:space="0" w:color="auto"/>
            <w:left w:val="none" w:sz="0" w:space="0" w:color="auto"/>
            <w:bottom w:val="none" w:sz="0" w:space="0" w:color="auto"/>
            <w:right w:val="none" w:sz="0" w:space="0" w:color="auto"/>
          </w:divBdr>
        </w:div>
        <w:div w:id="2053265922">
          <w:marLeft w:val="0"/>
          <w:marRight w:val="0"/>
          <w:marTop w:val="0"/>
          <w:marBottom w:val="0"/>
          <w:divBdr>
            <w:top w:val="none" w:sz="0" w:space="0" w:color="auto"/>
            <w:left w:val="none" w:sz="0" w:space="0" w:color="auto"/>
            <w:bottom w:val="none" w:sz="0" w:space="0" w:color="auto"/>
            <w:right w:val="none" w:sz="0" w:space="0" w:color="auto"/>
          </w:divBdr>
        </w:div>
        <w:div w:id="809592353">
          <w:marLeft w:val="0"/>
          <w:marRight w:val="0"/>
          <w:marTop w:val="0"/>
          <w:marBottom w:val="0"/>
          <w:divBdr>
            <w:top w:val="none" w:sz="0" w:space="0" w:color="auto"/>
            <w:left w:val="none" w:sz="0" w:space="0" w:color="auto"/>
            <w:bottom w:val="none" w:sz="0" w:space="0" w:color="auto"/>
            <w:right w:val="none" w:sz="0" w:space="0" w:color="auto"/>
          </w:divBdr>
        </w:div>
        <w:div w:id="717554464">
          <w:marLeft w:val="0"/>
          <w:marRight w:val="0"/>
          <w:marTop w:val="0"/>
          <w:marBottom w:val="0"/>
          <w:divBdr>
            <w:top w:val="none" w:sz="0" w:space="0" w:color="auto"/>
            <w:left w:val="none" w:sz="0" w:space="0" w:color="auto"/>
            <w:bottom w:val="none" w:sz="0" w:space="0" w:color="auto"/>
            <w:right w:val="none" w:sz="0" w:space="0" w:color="auto"/>
          </w:divBdr>
        </w:div>
        <w:div w:id="1990817153">
          <w:marLeft w:val="0"/>
          <w:marRight w:val="0"/>
          <w:marTop w:val="0"/>
          <w:marBottom w:val="0"/>
          <w:divBdr>
            <w:top w:val="none" w:sz="0" w:space="0" w:color="auto"/>
            <w:left w:val="none" w:sz="0" w:space="0" w:color="auto"/>
            <w:bottom w:val="none" w:sz="0" w:space="0" w:color="auto"/>
            <w:right w:val="none" w:sz="0" w:space="0" w:color="auto"/>
          </w:divBdr>
        </w:div>
      </w:divsChild>
    </w:div>
    <w:div w:id="590745056">
      <w:bodyDiv w:val="1"/>
      <w:marLeft w:val="0"/>
      <w:marRight w:val="0"/>
      <w:marTop w:val="0"/>
      <w:marBottom w:val="0"/>
      <w:divBdr>
        <w:top w:val="none" w:sz="0" w:space="0" w:color="auto"/>
        <w:left w:val="none" w:sz="0" w:space="0" w:color="auto"/>
        <w:bottom w:val="none" w:sz="0" w:space="0" w:color="auto"/>
        <w:right w:val="none" w:sz="0" w:space="0" w:color="auto"/>
      </w:divBdr>
    </w:div>
    <w:div w:id="1743529361">
      <w:bodyDiv w:val="1"/>
      <w:marLeft w:val="0"/>
      <w:marRight w:val="0"/>
      <w:marTop w:val="0"/>
      <w:marBottom w:val="0"/>
      <w:divBdr>
        <w:top w:val="none" w:sz="0" w:space="0" w:color="auto"/>
        <w:left w:val="none" w:sz="0" w:space="0" w:color="auto"/>
        <w:bottom w:val="none" w:sz="0" w:space="0" w:color="auto"/>
        <w:right w:val="none" w:sz="0" w:space="0" w:color="auto"/>
      </w:divBdr>
      <w:divsChild>
        <w:div w:id="363556337">
          <w:marLeft w:val="0"/>
          <w:marRight w:val="0"/>
          <w:marTop w:val="0"/>
          <w:marBottom w:val="0"/>
          <w:divBdr>
            <w:top w:val="none" w:sz="0" w:space="0" w:color="auto"/>
            <w:left w:val="none" w:sz="0" w:space="0" w:color="auto"/>
            <w:bottom w:val="none" w:sz="0" w:space="0" w:color="auto"/>
            <w:right w:val="none" w:sz="0" w:space="0" w:color="auto"/>
          </w:divBdr>
        </w:div>
        <w:div w:id="1742290203">
          <w:marLeft w:val="0"/>
          <w:marRight w:val="0"/>
          <w:marTop w:val="0"/>
          <w:marBottom w:val="0"/>
          <w:divBdr>
            <w:top w:val="none" w:sz="0" w:space="0" w:color="auto"/>
            <w:left w:val="none" w:sz="0" w:space="0" w:color="auto"/>
            <w:bottom w:val="none" w:sz="0" w:space="0" w:color="auto"/>
            <w:right w:val="none" w:sz="0" w:space="0" w:color="auto"/>
          </w:divBdr>
        </w:div>
        <w:div w:id="1137067437">
          <w:marLeft w:val="0"/>
          <w:marRight w:val="0"/>
          <w:marTop w:val="0"/>
          <w:marBottom w:val="0"/>
          <w:divBdr>
            <w:top w:val="none" w:sz="0" w:space="0" w:color="auto"/>
            <w:left w:val="none" w:sz="0" w:space="0" w:color="auto"/>
            <w:bottom w:val="none" w:sz="0" w:space="0" w:color="auto"/>
            <w:right w:val="none" w:sz="0" w:space="0" w:color="auto"/>
          </w:divBdr>
        </w:div>
        <w:div w:id="212735903">
          <w:marLeft w:val="0"/>
          <w:marRight w:val="0"/>
          <w:marTop w:val="0"/>
          <w:marBottom w:val="0"/>
          <w:divBdr>
            <w:top w:val="none" w:sz="0" w:space="0" w:color="auto"/>
            <w:left w:val="none" w:sz="0" w:space="0" w:color="auto"/>
            <w:bottom w:val="none" w:sz="0" w:space="0" w:color="auto"/>
            <w:right w:val="none" w:sz="0" w:space="0" w:color="auto"/>
          </w:divBdr>
        </w:div>
        <w:div w:id="788007712">
          <w:marLeft w:val="0"/>
          <w:marRight w:val="0"/>
          <w:marTop w:val="0"/>
          <w:marBottom w:val="0"/>
          <w:divBdr>
            <w:top w:val="none" w:sz="0" w:space="0" w:color="auto"/>
            <w:left w:val="none" w:sz="0" w:space="0" w:color="auto"/>
            <w:bottom w:val="none" w:sz="0" w:space="0" w:color="auto"/>
            <w:right w:val="none" w:sz="0" w:space="0" w:color="auto"/>
          </w:divBdr>
        </w:div>
      </w:divsChild>
    </w:div>
    <w:div w:id="1909613074">
      <w:bodyDiv w:val="1"/>
      <w:marLeft w:val="0"/>
      <w:marRight w:val="0"/>
      <w:marTop w:val="0"/>
      <w:marBottom w:val="0"/>
      <w:divBdr>
        <w:top w:val="none" w:sz="0" w:space="0" w:color="auto"/>
        <w:left w:val="none" w:sz="0" w:space="0" w:color="auto"/>
        <w:bottom w:val="none" w:sz="0" w:space="0" w:color="auto"/>
        <w:right w:val="none" w:sz="0" w:space="0" w:color="auto"/>
      </w:divBdr>
      <w:divsChild>
        <w:div w:id="825588680">
          <w:marLeft w:val="0"/>
          <w:marRight w:val="0"/>
          <w:marTop w:val="0"/>
          <w:marBottom w:val="0"/>
          <w:divBdr>
            <w:top w:val="none" w:sz="0" w:space="0" w:color="auto"/>
            <w:left w:val="none" w:sz="0" w:space="0" w:color="auto"/>
            <w:bottom w:val="none" w:sz="0" w:space="0" w:color="auto"/>
            <w:right w:val="none" w:sz="0" w:space="0" w:color="auto"/>
          </w:divBdr>
        </w:div>
        <w:div w:id="1577978368">
          <w:marLeft w:val="0"/>
          <w:marRight w:val="0"/>
          <w:marTop w:val="0"/>
          <w:marBottom w:val="0"/>
          <w:divBdr>
            <w:top w:val="none" w:sz="0" w:space="0" w:color="auto"/>
            <w:left w:val="none" w:sz="0" w:space="0" w:color="auto"/>
            <w:bottom w:val="none" w:sz="0" w:space="0" w:color="auto"/>
            <w:right w:val="none" w:sz="0" w:space="0" w:color="auto"/>
          </w:divBdr>
        </w:div>
        <w:div w:id="954603477">
          <w:marLeft w:val="0"/>
          <w:marRight w:val="0"/>
          <w:marTop w:val="0"/>
          <w:marBottom w:val="0"/>
          <w:divBdr>
            <w:top w:val="none" w:sz="0" w:space="0" w:color="auto"/>
            <w:left w:val="none" w:sz="0" w:space="0" w:color="auto"/>
            <w:bottom w:val="none" w:sz="0" w:space="0" w:color="auto"/>
            <w:right w:val="none" w:sz="0" w:space="0" w:color="auto"/>
          </w:divBdr>
        </w:div>
        <w:div w:id="1593465439">
          <w:marLeft w:val="0"/>
          <w:marRight w:val="0"/>
          <w:marTop w:val="0"/>
          <w:marBottom w:val="0"/>
          <w:divBdr>
            <w:top w:val="none" w:sz="0" w:space="0" w:color="auto"/>
            <w:left w:val="none" w:sz="0" w:space="0" w:color="auto"/>
            <w:bottom w:val="none" w:sz="0" w:space="0" w:color="auto"/>
            <w:right w:val="none" w:sz="0" w:space="0" w:color="auto"/>
          </w:divBdr>
        </w:div>
        <w:div w:id="392581702">
          <w:marLeft w:val="0"/>
          <w:marRight w:val="0"/>
          <w:marTop w:val="0"/>
          <w:marBottom w:val="0"/>
          <w:divBdr>
            <w:top w:val="none" w:sz="0" w:space="0" w:color="auto"/>
            <w:left w:val="none" w:sz="0" w:space="0" w:color="auto"/>
            <w:bottom w:val="none" w:sz="0" w:space="0" w:color="auto"/>
            <w:right w:val="none" w:sz="0" w:space="0" w:color="auto"/>
          </w:divBdr>
        </w:div>
      </w:divsChild>
    </w:div>
    <w:div w:id="2091810812">
      <w:bodyDiv w:val="1"/>
      <w:marLeft w:val="0"/>
      <w:marRight w:val="0"/>
      <w:marTop w:val="0"/>
      <w:marBottom w:val="0"/>
      <w:divBdr>
        <w:top w:val="none" w:sz="0" w:space="0" w:color="auto"/>
        <w:left w:val="none" w:sz="0" w:space="0" w:color="auto"/>
        <w:bottom w:val="none" w:sz="0" w:space="0" w:color="auto"/>
        <w:right w:val="none" w:sz="0" w:space="0" w:color="auto"/>
      </w:divBdr>
    </w:div>
    <w:div w:id="2093156724">
      <w:bodyDiv w:val="1"/>
      <w:marLeft w:val="0"/>
      <w:marRight w:val="0"/>
      <w:marTop w:val="0"/>
      <w:marBottom w:val="0"/>
      <w:divBdr>
        <w:top w:val="none" w:sz="0" w:space="0" w:color="auto"/>
        <w:left w:val="none" w:sz="0" w:space="0" w:color="auto"/>
        <w:bottom w:val="none" w:sz="0" w:space="0" w:color="auto"/>
        <w:right w:val="none" w:sz="0" w:space="0" w:color="auto"/>
      </w:divBdr>
      <w:divsChild>
        <w:div w:id="1079328975">
          <w:marLeft w:val="0"/>
          <w:marRight w:val="0"/>
          <w:marTop w:val="0"/>
          <w:marBottom w:val="0"/>
          <w:divBdr>
            <w:top w:val="none" w:sz="0" w:space="0" w:color="auto"/>
            <w:left w:val="none" w:sz="0" w:space="0" w:color="auto"/>
            <w:bottom w:val="none" w:sz="0" w:space="0" w:color="auto"/>
            <w:right w:val="none" w:sz="0" w:space="0" w:color="auto"/>
          </w:divBdr>
        </w:div>
        <w:div w:id="1826121131">
          <w:marLeft w:val="0"/>
          <w:marRight w:val="0"/>
          <w:marTop w:val="0"/>
          <w:marBottom w:val="0"/>
          <w:divBdr>
            <w:top w:val="none" w:sz="0" w:space="0" w:color="auto"/>
            <w:left w:val="none" w:sz="0" w:space="0" w:color="auto"/>
            <w:bottom w:val="none" w:sz="0" w:space="0" w:color="auto"/>
            <w:right w:val="none" w:sz="0" w:space="0" w:color="auto"/>
          </w:divBdr>
        </w:div>
        <w:div w:id="1951662293">
          <w:marLeft w:val="0"/>
          <w:marRight w:val="0"/>
          <w:marTop w:val="0"/>
          <w:marBottom w:val="0"/>
          <w:divBdr>
            <w:top w:val="none" w:sz="0" w:space="0" w:color="auto"/>
            <w:left w:val="none" w:sz="0" w:space="0" w:color="auto"/>
            <w:bottom w:val="none" w:sz="0" w:space="0" w:color="auto"/>
            <w:right w:val="none" w:sz="0" w:space="0" w:color="auto"/>
          </w:divBdr>
        </w:div>
        <w:div w:id="2118942064">
          <w:marLeft w:val="0"/>
          <w:marRight w:val="0"/>
          <w:marTop w:val="0"/>
          <w:marBottom w:val="0"/>
          <w:divBdr>
            <w:top w:val="none" w:sz="0" w:space="0" w:color="auto"/>
            <w:left w:val="none" w:sz="0" w:space="0" w:color="auto"/>
            <w:bottom w:val="none" w:sz="0" w:space="0" w:color="auto"/>
            <w:right w:val="none" w:sz="0" w:space="0" w:color="auto"/>
          </w:divBdr>
        </w:div>
        <w:div w:id="1339311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bonnici\Downloads\IQ%20PCR%20Document-Final-Oct%2021.dotx" TargetMode="External"/></Relationships>
</file>

<file path=word/theme/theme1.xml><?xml version="1.0" encoding="utf-8"?>
<a:theme xmlns:a="http://schemas.openxmlformats.org/drawingml/2006/main" name="Intact_Master Theme_2018">
  <a:themeElements>
    <a:clrScheme name="Intact_MasterColours_2018">
      <a:dk1>
        <a:sysClr val="windowText" lastClr="000000"/>
      </a:dk1>
      <a:lt1>
        <a:sysClr val="window" lastClr="FFFFFF"/>
      </a:lt1>
      <a:dk2>
        <a:srgbClr val="333E48"/>
      </a:dk2>
      <a:lt2>
        <a:srgbClr val="517891"/>
      </a:lt2>
      <a:accent1>
        <a:srgbClr val="FFCF01"/>
      </a:accent1>
      <a:accent2>
        <a:srgbClr val="D0D7E0"/>
      </a:accent2>
      <a:accent3>
        <a:srgbClr val="8BA3B6"/>
      </a:accent3>
      <a:accent4>
        <a:srgbClr val="70004B"/>
      </a:accent4>
      <a:accent5>
        <a:srgbClr val="00A4C7"/>
      </a:accent5>
      <a:accent6>
        <a:srgbClr val="3DAF8D"/>
      </a:accent6>
      <a:hlink>
        <a:srgbClr val="00A4C7"/>
      </a:hlink>
      <a:folHlink>
        <a:srgbClr val="70004B"/>
      </a:folHlink>
    </a:clrScheme>
    <a:fontScheme name="Intact_Master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E19A5E4365E24FBF6633982E49850A" ma:contentTypeVersion="11" ma:contentTypeDescription="Create a new document." ma:contentTypeScope="" ma:versionID="389d319612f6b5b80056a778f77f7c95">
  <xsd:schema xmlns:xsd="http://www.w3.org/2001/XMLSchema" xmlns:xs="http://www.w3.org/2001/XMLSchema" xmlns:p="http://schemas.microsoft.com/office/2006/metadata/properties" xmlns:ns2="bbb91da9-0117-41f5-a84d-f694a3ee4c2a" xmlns:ns3="459808ff-8ea5-405a-9da3-acc68a9beb24" targetNamespace="http://schemas.microsoft.com/office/2006/metadata/properties" ma:root="true" ma:fieldsID="d9e0538f3a1caa725f980dd57a83ee73" ns2:_="" ns3:_="">
    <xsd:import namespace="bbb91da9-0117-41f5-a84d-f694a3ee4c2a"/>
    <xsd:import namespace="459808ff-8ea5-405a-9da3-acc68a9be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91da9-0117-41f5-a84d-f694a3ee4c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9808ff-8ea5-405a-9da3-acc68a9be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D8E00-9DA0-4578-B34A-839539D9D4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08D7EC-5176-47D3-9809-4D546B58FDF0}">
  <ds:schemaRefs>
    <ds:schemaRef ds:uri="http://schemas.microsoft.com/sharepoint/v3/contenttype/forms"/>
  </ds:schemaRefs>
</ds:datastoreItem>
</file>

<file path=customXml/itemProps3.xml><?xml version="1.0" encoding="utf-8"?>
<ds:datastoreItem xmlns:ds="http://schemas.openxmlformats.org/officeDocument/2006/customXml" ds:itemID="{8E58A951-C162-46C0-8465-AD34FEDB6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91da9-0117-41f5-a84d-f694a3ee4c2a"/>
    <ds:schemaRef ds:uri="459808ff-8ea5-405a-9da3-acc68a9be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621A90-1061-4675-A5ED-69D69736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IQ PCR Document-Final-Oct 21.dotx</Template>
  <TotalTime>229</TotalTime>
  <Pages>19</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Bonnici</dc:creator>
  <cp:keywords/>
  <dc:description/>
  <cp:lastModifiedBy>Mark Bonnici</cp:lastModifiedBy>
  <cp:revision>19</cp:revision>
  <dcterms:created xsi:type="dcterms:W3CDTF">2022-04-18T08:40:00Z</dcterms:created>
  <dcterms:modified xsi:type="dcterms:W3CDTF">2022-04-26T14:19:00Z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0x01010097E19A5E4365E24FBF6633982E49850A</vt:lpwstr>
  </property>
</Properties>
</file>